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3667" w14:textId="77777777" w:rsidR="00430CE2" w:rsidRDefault="00430CE2" w:rsidP="00430CE2">
      <w:pPr>
        <w:shd w:val="clear" w:color="auto" w:fill="83CAEB" w:themeFill="accent1" w:themeFillTint="66"/>
        <w:rPr>
          <w:b/>
          <w:bCs/>
          <w:lang w:val="en-US"/>
        </w:rPr>
      </w:pPr>
      <w:r>
        <w:rPr>
          <w:b/>
          <w:bCs/>
          <w:lang w:val="en-US"/>
        </w:rPr>
        <w:t>NHS Consultative Ballot (England Only)</w:t>
      </w:r>
    </w:p>
    <w:p w14:paraId="4EFCCCA0" w14:textId="77777777" w:rsidR="00430CE2" w:rsidRDefault="00430CE2" w:rsidP="002D2E0C">
      <w:pPr>
        <w:rPr>
          <w:b/>
          <w:bCs/>
          <w:lang w:val="en-US"/>
        </w:rPr>
      </w:pPr>
      <w:r>
        <w:rPr>
          <w:b/>
          <w:bCs/>
          <w:lang w:val="en-US"/>
        </w:rPr>
        <w:t>June 2025</w:t>
      </w:r>
    </w:p>
    <w:p w14:paraId="4B9DD1E7" w14:textId="77777777" w:rsidR="00430CE2" w:rsidRDefault="00430CE2" w:rsidP="005F60B3">
      <w:pPr>
        <w:shd w:val="clear" w:color="auto" w:fill="83CAEB" w:themeFill="accent1" w:themeFillTint="66"/>
        <w:rPr>
          <w:b/>
          <w:bCs/>
          <w:lang w:val="en-US"/>
        </w:rPr>
      </w:pPr>
      <w:r>
        <w:rPr>
          <w:b/>
          <w:bCs/>
          <w:lang w:val="en-US"/>
        </w:rPr>
        <w:t>Frequently Asked Questions</w:t>
      </w:r>
    </w:p>
    <w:p w14:paraId="5A6D3F72" w14:textId="77777777" w:rsidR="00430CE2" w:rsidRDefault="00430CE2" w:rsidP="002D2E0C">
      <w:pPr>
        <w:rPr>
          <w:b/>
          <w:bCs/>
          <w:lang w:val="en-US"/>
        </w:rPr>
      </w:pPr>
    </w:p>
    <w:p w14:paraId="13C2F1C0" w14:textId="008A7313" w:rsidR="002D2E0C" w:rsidRDefault="00063557" w:rsidP="005F60B3">
      <w:pPr>
        <w:shd w:val="clear" w:color="auto" w:fill="FAE2D5" w:themeFill="accent2" w:themeFillTint="33"/>
        <w:rPr>
          <w:b/>
          <w:bCs/>
          <w:lang w:val="en-US"/>
        </w:rPr>
      </w:pPr>
      <w:r w:rsidRPr="001F30D1">
        <w:rPr>
          <w:b/>
          <w:bCs/>
          <w:lang w:val="en-US"/>
        </w:rPr>
        <w:t>What is the pay award?</w:t>
      </w:r>
      <w:r w:rsidR="002D2E0C" w:rsidRPr="001F30D1">
        <w:rPr>
          <w:b/>
          <w:bCs/>
          <w:lang w:val="en-US"/>
        </w:rPr>
        <w:t xml:space="preserve"> </w:t>
      </w:r>
    </w:p>
    <w:p w14:paraId="3A69DA9B" w14:textId="6E31B6D7" w:rsidR="00F0661A" w:rsidRPr="00F0661A" w:rsidRDefault="00F0661A" w:rsidP="002D2E0C">
      <w:pPr>
        <w:rPr>
          <w:lang w:val="en-US"/>
        </w:rPr>
      </w:pPr>
      <w:r>
        <w:rPr>
          <w:lang w:val="en-US"/>
        </w:rPr>
        <w:t xml:space="preserve">All NHS staff on </w:t>
      </w:r>
      <w:r w:rsidR="001A281B">
        <w:rPr>
          <w:lang w:val="en-US"/>
        </w:rPr>
        <w:t>Agenda for Change (</w:t>
      </w:r>
      <w:proofErr w:type="spellStart"/>
      <w:r w:rsidR="001A281B">
        <w:rPr>
          <w:lang w:val="en-US"/>
        </w:rPr>
        <w:t>AfC</w:t>
      </w:r>
      <w:proofErr w:type="spellEnd"/>
      <w:r w:rsidR="001A281B">
        <w:rPr>
          <w:lang w:val="en-US"/>
        </w:rPr>
        <w:t xml:space="preserve">) </w:t>
      </w:r>
      <w:r>
        <w:rPr>
          <w:lang w:val="en-US"/>
        </w:rPr>
        <w:t xml:space="preserve">contracts will receive a 3.6% uplift </w:t>
      </w:r>
      <w:r w:rsidR="00CC7D2A">
        <w:rPr>
          <w:lang w:val="en-US"/>
        </w:rPr>
        <w:t>to</w:t>
      </w:r>
      <w:r>
        <w:rPr>
          <w:lang w:val="en-US"/>
        </w:rPr>
        <w:t xml:space="preserve"> their basic salary.  All the </w:t>
      </w:r>
      <w:proofErr w:type="spellStart"/>
      <w:r>
        <w:rPr>
          <w:lang w:val="en-US"/>
        </w:rPr>
        <w:t>AfC</w:t>
      </w:r>
      <w:proofErr w:type="spellEnd"/>
      <w:r>
        <w:rPr>
          <w:lang w:val="en-US"/>
        </w:rPr>
        <w:t xml:space="preserve"> pay points will be increased by 3.6%.</w:t>
      </w:r>
      <w:r w:rsidR="00EA680F">
        <w:rPr>
          <w:lang w:val="en-US"/>
        </w:rPr>
        <w:t xml:space="preserve">  For </w:t>
      </w:r>
      <w:r w:rsidR="00EA680F" w:rsidRPr="00DA0297">
        <w:rPr>
          <w:b/>
          <w:bCs/>
          <w:lang w:val="en-US"/>
        </w:rPr>
        <w:t>most</w:t>
      </w:r>
      <w:r w:rsidR="00EA680F">
        <w:rPr>
          <w:lang w:val="en-US"/>
        </w:rPr>
        <w:t xml:space="preserve"> staff this will be paid in August.  As the pay increase was due in April there will be </w:t>
      </w:r>
      <w:r w:rsidR="00F37D30">
        <w:rPr>
          <w:lang w:val="en-US"/>
        </w:rPr>
        <w:t xml:space="preserve">an element of back pay to cover the increase from April.  This will also be </w:t>
      </w:r>
      <w:proofErr w:type="gramStart"/>
      <w:r w:rsidR="00F37D30">
        <w:rPr>
          <w:lang w:val="en-US"/>
        </w:rPr>
        <w:t>paid</w:t>
      </w:r>
      <w:proofErr w:type="gramEnd"/>
      <w:r w:rsidR="00F37D30">
        <w:rPr>
          <w:lang w:val="en-US"/>
        </w:rPr>
        <w:t xml:space="preserve"> in August.</w:t>
      </w:r>
    </w:p>
    <w:p w14:paraId="1DF3BB3D" w14:textId="1135644F" w:rsidR="00F0661A" w:rsidRDefault="00F7261F" w:rsidP="005F60B3">
      <w:pPr>
        <w:shd w:val="clear" w:color="auto" w:fill="FAE2D5" w:themeFill="accent2" w:themeFillTint="33"/>
        <w:rPr>
          <w:b/>
          <w:bCs/>
          <w:lang w:val="en-US"/>
        </w:rPr>
      </w:pPr>
      <w:r>
        <w:rPr>
          <w:b/>
          <w:bCs/>
          <w:lang w:val="en-US"/>
        </w:rPr>
        <w:t>Why are band 2s / entry point 3 NOT getting 3.6% in August?</w:t>
      </w:r>
    </w:p>
    <w:p w14:paraId="23E2775F" w14:textId="2D04362E" w:rsidR="00F0661A" w:rsidRPr="00D03A3F" w:rsidRDefault="00F0661A" w:rsidP="002D2E0C">
      <w:pPr>
        <w:rPr>
          <w:lang w:val="en-US"/>
        </w:rPr>
      </w:pPr>
      <w:r>
        <w:rPr>
          <w:lang w:val="en-US"/>
        </w:rPr>
        <w:t xml:space="preserve">Staff in band 2 and entry point 3 </w:t>
      </w:r>
      <w:r w:rsidR="00055410">
        <w:rPr>
          <w:lang w:val="en-US"/>
        </w:rPr>
        <w:t>had an interim award of 2.3% in April in order that they did not fall below the legal minimum (and some differential was maintained).  This was an “advance” on the final award.  Unite members across England are expressing anger at this as they feel, rightly, that</w:t>
      </w:r>
      <w:r w:rsidR="00D03A3F">
        <w:rPr>
          <w:lang w:val="en-US"/>
        </w:rPr>
        <w:t xml:space="preserve"> as</w:t>
      </w:r>
      <w:r w:rsidR="00055410">
        <w:rPr>
          <w:lang w:val="en-US"/>
        </w:rPr>
        <w:t xml:space="preserve"> the interim award was legally required</w:t>
      </w:r>
      <w:r w:rsidR="00D03A3F">
        <w:rPr>
          <w:lang w:val="en-US"/>
        </w:rPr>
        <w:t xml:space="preserve"> it </w:t>
      </w:r>
      <w:r w:rsidR="00D03A3F">
        <w:rPr>
          <w:i/>
          <w:iCs/>
          <w:lang w:val="en-US"/>
        </w:rPr>
        <w:t>had</w:t>
      </w:r>
      <w:r w:rsidR="00D03A3F">
        <w:rPr>
          <w:lang w:val="en-US"/>
        </w:rPr>
        <w:t xml:space="preserve"> to be paid and that the award should increase salaries.</w:t>
      </w:r>
    </w:p>
    <w:p w14:paraId="221CC320" w14:textId="12D7E110" w:rsidR="001F30D1" w:rsidRDefault="001F30D1" w:rsidP="005F60B3">
      <w:pPr>
        <w:shd w:val="clear" w:color="auto" w:fill="FAE2D5" w:themeFill="accent2" w:themeFillTint="33"/>
        <w:rPr>
          <w:b/>
          <w:bCs/>
          <w:lang w:val="en-US"/>
        </w:rPr>
      </w:pPr>
      <w:r w:rsidRPr="001F30D1">
        <w:rPr>
          <w:b/>
          <w:bCs/>
          <w:lang w:val="en-US"/>
        </w:rPr>
        <w:t>What is Unite’s view about the award?</w:t>
      </w:r>
    </w:p>
    <w:p w14:paraId="19D74B20" w14:textId="4BC9F64C" w:rsidR="00D03A3F" w:rsidRPr="00D03A3F" w:rsidRDefault="00D03A3F" w:rsidP="002D2E0C">
      <w:pPr>
        <w:rPr>
          <w:lang w:val="en-US"/>
        </w:rPr>
      </w:pPr>
      <w:r w:rsidRPr="00D03A3F">
        <w:rPr>
          <w:lang w:val="en-US"/>
        </w:rPr>
        <w:t xml:space="preserve">That </w:t>
      </w:r>
      <w:r w:rsidR="00104CE3">
        <w:rPr>
          <w:lang w:val="en-US"/>
        </w:rPr>
        <w:t>the pay award</w:t>
      </w:r>
      <w:r w:rsidRPr="00D03A3F">
        <w:rPr>
          <w:lang w:val="en-US"/>
        </w:rPr>
        <w:t xml:space="preserve"> is not acceptable.</w:t>
      </w:r>
      <w:r>
        <w:rPr>
          <w:lang w:val="en-US"/>
        </w:rPr>
        <w:t xml:space="preserve">  It is not in line with inflation, it is less than the doctors, it is less than Scottish </w:t>
      </w:r>
      <w:proofErr w:type="spellStart"/>
      <w:r>
        <w:rPr>
          <w:lang w:val="en-US"/>
        </w:rPr>
        <w:t>AfC</w:t>
      </w:r>
      <w:proofErr w:type="spellEnd"/>
      <w:r>
        <w:rPr>
          <w:lang w:val="en-US"/>
        </w:rPr>
        <w:t xml:space="preserve"> colleagues are receiving, it does nothing to res</w:t>
      </w:r>
      <w:r w:rsidR="009322A1">
        <w:rPr>
          <w:lang w:val="en-US"/>
        </w:rPr>
        <w:t>t</w:t>
      </w:r>
      <w:r>
        <w:rPr>
          <w:lang w:val="en-US"/>
        </w:rPr>
        <w:t>ore pay to the real</w:t>
      </w:r>
      <w:r w:rsidR="00A27CAA">
        <w:rPr>
          <w:lang w:val="en-US"/>
        </w:rPr>
        <w:t>-</w:t>
      </w:r>
      <w:r>
        <w:rPr>
          <w:lang w:val="en-US"/>
        </w:rPr>
        <w:t xml:space="preserve">terms levels seen before 2010 (Tory austerity) and it does not address the issues of low pay in the NHS.  In summary it does nothing to resolve the many issues that this </w:t>
      </w:r>
      <w:r w:rsidR="009B3228">
        <w:rPr>
          <w:lang w:val="en-US"/>
        </w:rPr>
        <w:t xml:space="preserve">current </w:t>
      </w:r>
      <w:r>
        <w:rPr>
          <w:lang w:val="en-US"/>
        </w:rPr>
        <w:t xml:space="preserve">government inherited from the </w:t>
      </w:r>
      <w:r w:rsidR="00D80B8B">
        <w:rPr>
          <w:lang w:val="en-US"/>
        </w:rPr>
        <w:t>previous one</w:t>
      </w:r>
      <w:r>
        <w:rPr>
          <w:lang w:val="en-US"/>
        </w:rPr>
        <w:t xml:space="preserve"> – something </w:t>
      </w:r>
      <w:proofErr w:type="spellStart"/>
      <w:r w:rsidR="009322A1">
        <w:rPr>
          <w:lang w:val="en-US"/>
        </w:rPr>
        <w:t>L</w:t>
      </w:r>
      <w:r>
        <w:rPr>
          <w:lang w:val="en-US"/>
        </w:rPr>
        <w:t>abour</w:t>
      </w:r>
      <w:proofErr w:type="spellEnd"/>
      <w:r>
        <w:rPr>
          <w:lang w:val="en-US"/>
        </w:rPr>
        <w:t xml:space="preserve"> committed to </w:t>
      </w:r>
      <w:r w:rsidR="006F16E4">
        <w:rPr>
          <w:lang w:val="en-US"/>
        </w:rPr>
        <w:t>resolve.</w:t>
      </w:r>
    </w:p>
    <w:p w14:paraId="756B8F6F" w14:textId="77777777" w:rsidR="00AA3208" w:rsidRDefault="002D2E0C" w:rsidP="005F60B3">
      <w:pPr>
        <w:shd w:val="clear" w:color="auto" w:fill="FAE2D5" w:themeFill="accent2" w:themeFillTint="33"/>
        <w:rPr>
          <w:b/>
          <w:bCs/>
          <w:lang w:val="en-US"/>
        </w:rPr>
      </w:pPr>
      <w:r w:rsidRPr="001F30D1">
        <w:rPr>
          <w:b/>
          <w:bCs/>
          <w:lang w:val="en-US"/>
        </w:rPr>
        <w:t>What is inflation</w:t>
      </w:r>
      <w:r w:rsidR="00AA3208">
        <w:rPr>
          <w:b/>
          <w:bCs/>
          <w:lang w:val="en-US"/>
        </w:rPr>
        <w:t>?</w:t>
      </w:r>
    </w:p>
    <w:p w14:paraId="205A9DD4" w14:textId="3113FF47" w:rsidR="006F16E4" w:rsidRDefault="006F16E4" w:rsidP="006F16E4">
      <w:pPr>
        <w:rPr>
          <w:lang w:val="en-US"/>
        </w:rPr>
      </w:pPr>
      <w:r>
        <w:rPr>
          <w:lang w:val="en-US"/>
        </w:rPr>
        <w:t xml:space="preserve">Every month the Office for National Statistics </w:t>
      </w:r>
      <w:r w:rsidR="00D80B8B">
        <w:rPr>
          <w:lang w:val="en-US"/>
        </w:rPr>
        <w:t xml:space="preserve">(ONS) </w:t>
      </w:r>
      <w:r>
        <w:rPr>
          <w:lang w:val="en-US"/>
        </w:rPr>
        <w:t>releases several inflation figures.  The ONS does a survey of things people spend money on and averages out the overall cost</w:t>
      </w:r>
      <w:r w:rsidR="004D754C">
        <w:rPr>
          <w:lang w:val="en-US"/>
        </w:rPr>
        <w:t xml:space="preserve"> increase as a percentage over the previous 12 months.</w:t>
      </w:r>
      <w:r>
        <w:rPr>
          <w:lang w:val="en-US"/>
        </w:rPr>
        <w:t xml:space="preserve">  The percentage</w:t>
      </w:r>
      <w:r w:rsidR="004D754C">
        <w:rPr>
          <w:lang w:val="en-US"/>
        </w:rPr>
        <w:t xml:space="preserve"> that is </w:t>
      </w:r>
      <w:r>
        <w:rPr>
          <w:lang w:val="en-US"/>
        </w:rPr>
        <w:t xml:space="preserve">reported in the news is the change (usually growth) in overall costs.  </w:t>
      </w:r>
      <w:r w:rsidR="00104CE3">
        <w:rPr>
          <w:lang w:val="en-US"/>
        </w:rPr>
        <w:t>So,</w:t>
      </w:r>
      <w:r w:rsidR="008B0C56">
        <w:rPr>
          <w:lang w:val="en-US"/>
        </w:rPr>
        <w:t xml:space="preserve"> between Apil 2024 and April 2025 the cost of living rose by 4.5%.  </w:t>
      </w:r>
      <w:r>
        <w:rPr>
          <w:lang w:val="en-US"/>
        </w:rPr>
        <w:t xml:space="preserve">If the increases </w:t>
      </w:r>
      <w:r w:rsidR="008B0C56">
        <w:rPr>
          <w:lang w:val="en-US"/>
        </w:rPr>
        <w:t xml:space="preserve">next month </w:t>
      </w:r>
      <w:r w:rsidR="00104CE3">
        <w:rPr>
          <w:lang w:val="en-US"/>
        </w:rPr>
        <w:t>are</w:t>
      </w:r>
      <w:r w:rsidR="008B0C56">
        <w:rPr>
          <w:lang w:val="en-US"/>
        </w:rPr>
        <w:t xml:space="preserve"> </w:t>
      </w:r>
      <w:proofErr w:type="gramStart"/>
      <w:r w:rsidR="008B0C56">
        <w:rPr>
          <w:lang w:val="en-US"/>
        </w:rPr>
        <w:t>less</w:t>
      </w:r>
      <w:proofErr w:type="gramEnd"/>
      <w:r w:rsidR="008B0C56">
        <w:rPr>
          <w:lang w:val="en-US"/>
        </w:rPr>
        <w:t xml:space="preserve"> this doesn’t mean prices have gone </w:t>
      </w:r>
      <w:r w:rsidR="00C3696D">
        <w:rPr>
          <w:lang w:val="en-US"/>
        </w:rPr>
        <w:t>down,</w:t>
      </w:r>
      <w:r w:rsidR="008B0C56">
        <w:rPr>
          <w:lang w:val="en-US"/>
        </w:rPr>
        <w:t xml:space="preserve"> it just means that the rate they are increasing by has slowed down.</w:t>
      </w:r>
      <w:r>
        <w:rPr>
          <w:lang w:val="en-US"/>
        </w:rPr>
        <w:t xml:space="preserve">  If pay and inflation increased by the same amount each year</w:t>
      </w:r>
      <w:r w:rsidR="00AA3208">
        <w:rPr>
          <w:lang w:val="en-US"/>
        </w:rPr>
        <w:t>,</w:t>
      </w:r>
      <w:r>
        <w:rPr>
          <w:lang w:val="en-US"/>
        </w:rPr>
        <w:t xml:space="preserve"> in theory</w:t>
      </w:r>
      <w:r w:rsidR="00AA3208">
        <w:rPr>
          <w:lang w:val="en-US"/>
        </w:rPr>
        <w:t>,</w:t>
      </w:r>
      <w:r>
        <w:rPr>
          <w:lang w:val="en-US"/>
        </w:rPr>
        <w:t xml:space="preserve"> people would see no change in what they could spend their money on.  </w:t>
      </w:r>
      <w:r w:rsidR="00104CE3">
        <w:rPr>
          <w:lang w:val="en-US"/>
        </w:rPr>
        <w:t>However,</w:t>
      </w:r>
      <w:r>
        <w:rPr>
          <w:lang w:val="en-US"/>
        </w:rPr>
        <w:t xml:space="preserve"> if wages do not increase </w:t>
      </w:r>
      <w:r w:rsidR="00C3696D">
        <w:rPr>
          <w:lang w:val="en-US"/>
        </w:rPr>
        <w:t>at</w:t>
      </w:r>
      <w:r>
        <w:rPr>
          <w:lang w:val="en-US"/>
        </w:rPr>
        <w:t xml:space="preserve"> the same rate as </w:t>
      </w:r>
      <w:r w:rsidR="00104CE3">
        <w:rPr>
          <w:lang w:val="en-US"/>
        </w:rPr>
        <w:t>inflation,</w:t>
      </w:r>
      <w:r>
        <w:rPr>
          <w:lang w:val="en-US"/>
        </w:rPr>
        <w:t xml:space="preserve"> it means that people will have to spend a bigger proportion of their income compared to the previous year</w:t>
      </w:r>
      <w:r w:rsidR="00AA3208">
        <w:rPr>
          <w:lang w:val="en-US"/>
        </w:rPr>
        <w:t xml:space="preserve"> to bu</w:t>
      </w:r>
      <w:r w:rsidR="00104CE3">
        <w:rPr>
          <w:lang w:val="en-US"/>
        </w:rPr>
        <w:t>y</w:t>
      </w:r>
      <w:r w:rsidR="00AA3208">
        <w:rPr>
          <w:lang w:val="en-US"/>
        </w:rPr>
        <w:t xml:space="preserve"> the same things</w:t>
      </w:r>
      <w:r>
        <w:rPr>
          <w:lang w:val="en-US"/>
        </w:rPr>
        <w:t>.</w:t>
      </w:r>
    </w:p>
    <w:p w14:paraId="6F8BFBC2" w14:textId="3F3D8A84" w:rsidR="006F16E4" w:rsidRDefault="00AA3208" w:rsidP="005F60B3">
      <w:pPr>
        <w:shd w:val="clear" w:color="auto" w:fill="FAE2D5" w:themeFill="accent2" w:themeFillTint="33"/>
        <w:rPr>
          <w:b/>
          <w:bCs/>
          <w:lang w:val="en-US"/>
        </w:rPr>
      </w:pPr>
      <w:r>
        <w:rPr>
          <w:b/>
          <w:bCs/>
          <w:lang w:val="en-US"/>
        </w:rPr>
        <w:t>Why are there different measures of inflation?</w:t>
      </w:r>
    </w:p>
    <w:p w14:paraId="581402F5" w14:textId="3324BE94" w:rsidR="00AA3208" w:rsidRDefault="00AA3208" w:rsidP="002D2E0C">
      <w:pPr>
        <w:rPr>
          <w:lang w:val="en-US"/>
        </w:rPr>
      </w:pPr>
      <w:r>
        <w:rPr>
          <w:lang w:val="en-US"/>
        </w:rPr>
        <w:t xml:space="preserve">The difference between the various measures of inflation </w:t>
      </w:r>
      <w:r w:rsidR="004F3804">
        <w:rPr>
          <w:lang w:val="en-US"/>
        </w:rPr>
        <w:t>is based on the calculation methods and the goods and services that make up the metaphorical “basket of goods” that is used to calculate the change in cost of living.  Unite use</w:t>
      </w:r>
      <w:r w:rsidR="00DA0297">
        <w:rPr>
          <w:lang w:val="en-US"/>
        </w:rPr>
        <w:t>s</w:t>
      </w:r>
      <w:r w:rsidR="004F3804">
        <w:rPr>
          <w:lang w:val="en-US"/>
        </w:rPr>
        <w:t xml:space="preserve"> the Retail Price Index (RPI) whereas the Government </w:t>
      </w:r>
      <w:r w:rsidR="00C92B21">
        <w:rPr>
          <w:lang w:val="en-US"/>
        </w:rPr>
        <w:t>uses</w:t>
      </w:r>
      <w:r w:rsidR="004F3804">
        <w:rPr>
          <w:lang w:val="en-US"/>
        </w:rPr>
        <w:t xml:space="preserve"> the Consumer Price index (CPI) </w:t>
      </w:r>
      <w:r w:rsidR="006B233C">
        <w:rPr>
          <w:lang w:val="en-US"/>
        </w:rPr>
        <w:t>when looking at wages (they use RPI when it comes to, amongst other things, student loan repayment and rail price increase by the way!)</w:t>
      </w:r>
      <w:r w:rsidR="00874255">
        <w:rPr>
          <w:lang w:val="en-US"/>
        </w:rPr>
        <w:t>.  Unite use</w:t>
      </w:r>
      <w:r w:rsidR="00DA0297">
        <w:rPr>
          <w:lang w:val="en-US"/>
        </w:rPr>
        <w:t>s</w:t>
      </w:r>
      <w:r w:rsidR="00874255">
        <w:rPr>
          <w:lang w:val="en-US"/>
        </w:rPr>
        <w:t xml:space="preserve"> RPI as it includes mortgage </w:t>
      </w:r>
      <w:r w:rsidR="00CF0B14">
        <w:rPr>
          <w:lang w:val="en-US"/>
        </w:rPr>
        <w:t xml:space="preserve">payments and council tax and it excludes top earners and tourists.  We feel it is therefore more representative of the </w:t>
      </w:r>
      <w:r w:rsidR="00C92B21">
        <w:rPr>
          <w:lang w:val="en-US"/>
        </w:rPr>
        <w:t>cost-of-living</w:t>
      </w:r>
      <w:r w:rsidR="00CF0B14">
        <w:rPr>
          <w:lang w:val="en-US"/>
        </w:rPr>
        <w:t xml:space="preserve"> increases which our members experience.</w:t>
      </w:r>
    </w:p>
    <w:p w14:paraId="5E333A59" w14:textId="77777777" w:rsidR="00430CE2" w:rsidRDefault="00430CE2" w:rsidP="005F60B3">
      <w:pPr>
        <w:shd w:val="clear" w:color="auto" w:fill="FAE2D5" w:themeFill="accent2" w:themeFillTint="33"/>
        <w:rPr>
          <w:b/>
          <w:bCs/>
          <w:lang w:val="en-US"/>
        </w:rPr>
      </w:pPr>
      <w:r>
        <w:rPr>
          <w:b/>
          <w:bCs/>
          <w:lang w:val="en-US"/>
        </w:rPr>
        <w:lastRenderedPageBreak/>
        <w:t>How much has my pay devalued in comparison to inflation?</w:t>
      </w:r>
    </w:p>
    <w:p w14:paraId="6E525054" w14:textId="673518C3" w:rsidR="00430CE2" w:rsidRDefault="00430CE2" w:rsidP="00430CE2">
      <w:pPr>
        <w:rPr>
          <w:lang w:val="en-US"/>
        </w:rPr>
      </w:pPr>
      <w:r>
        <w:rPr>
          <w:lang w:val="en-US"/>
        </w:rPr>
        <w:t>This varies by band</w:t>
      </w:r>
      <w:r w:rsidR="00C92B21">
        <w:rPr>
          <w:lang w:val="en-US"/>
        </w:rPr>
        <w:t>,</w:t>
      </w:r>
      <w:r>
        <w:rPr>
          <w:lang w:val="en-US"/>
        </w:rPr>
        <w:t xml:space="preserve"> but the graph below shows how much inflation (RPI) has gone up since 2010 </w:t>
      </w:r>
      <w:r w:rsidR="008D000B">
        <w:rPr>
          <w:lang w:val="en-US"/>
        </w:rPr>
        <w:t xml:space="preserve">(brown line) </w:t>
      </w:r>
      <w:r>
        <w:rPr>
          <w:lang w:val="en-US"/>
        </w:rPr>
        <w:t xml:space="preserve">and how much top of band NHS salaries have </w:t>
      </w:r>
      <w:r w:rsidR="00C3696D">
        <w:rPr>
          <w:lang w:val="en-US"/>
        </w:rPr>
        <w:t>increased</w:t>
      </w:r>
      <w:r w:rsidR="008D000B">
        <w:rPr>
          <w:lang w:val="en-US"/>
        </w:rPr>
        <w:t xml:space="preserve"> since 2010 (blue line)</w:t>
      </w:r>
      <w:r>
        <w:rPr>
          <w:lang w:val="en-US"/>
        </w:rPr>
        <w:t>.  The difference is staggering!</w:t>
      </w:r>
    </w:p>
    <w:p w14:paraId="66E0AB36" w14:textId="77777777" w:rsidR="00430CE2" w:rsidRDefault="00430CE2" w:rsidP="00430CE2">
      <w:pPr>
        <w:rPr>
          <w:lang w:val="en-US"/>
        </w:rPr>
      </w:pPr>
      <w:r>
        <w:rPr>
          <w:noProof/>
          <w14:ligatures w14:val="none"/>
        </w:rPr>
        <w:drawing>
          <wp:inline distT="0" distB="0" distL="0" distR="0" wp14:anchorId="0F48FA68" wp14:editId="7DBB1EB3">
            <wp:extent cx="4581525" cy="2505075"/>
            <wp:effectExtent l="0" t="0" r="9525" b="9525"/>
            <wp:docPr id="1981387167" name="Picture 1" descr="A graph of bands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87167" name="Picture 1" descr="A graph of bands with numbers and text&#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81525" cy="2505075"/>
                    </a:xfrm>
                    <a:prstGeom prst="rect">
                      <a:avLst/>
                    </a:prstGeom>
                    <a:noFill/>
                    <a:ln>
                      <a:noFill/>
                    </a:ln>
                  </pic:spPr>
                </pic:pic>
              </a:graphicData>
            </a:graphic>
          </wp:inline>
        </w:drawing>
      </w:r>
    </w:p>
    <w:p w14:paraId="54152AD4" w14:textId="77777777" w:rsidR="00430CE2" w:rsidRDefault="00430CE2" w:rsidP="00430CE2">
      <w:pPr>
        <w:rPr>
          <w:lang w:val="en-US"/>
        </w:rPr>
      </w:pPr>
    </w:p>
    <w:p w14:paraId="4B18FCA7" w14:textId="77777777" w:rsidR="00430CE2" w:rsidRPr="004D2007" w:rsidRDefault="00430CE2" w:rsidP="005F60B3">
      <w:pPr>
        <w:shd w:val="clear" w:color="auto" w:fill="FAE2D5" w:themeFill="accent2" w:themeFillTint="33"/>
        <w:rPr>
          <w:b/>
          <w:bCs/>
          <w:lang w:val="en-US"/>
        </w:rPr>
      </w:pPr>
      <w:r w:rsidRPr="004D2007">
        <w:rPr>
          <w:b/>
          <w:bCs/>
          <w:lang w:val="en-US"/>
        </w:rPr>
        <w:t>Had my salary gone up by RPI how</w:t>
      </w:r>
      <w:r>
        <w:rPr>
          <w:b/>
          <w:bCs/>
          <w:lang w:val="en-US"/>
        </w:rPr>
        <w:t xml:space="preserve"> much</w:t>
      </w:r>
      <w:r w:rsidRPr="004D2007">
        <w:rPr>
          <w:b/>
          <w:bCs/>
          <w:lang w:val="en-US"/>
        </w:rPr>
        <w:t xml:space="preserve"> better off would I have been since 2010?</w:t>
      </w:r>
    </w:p>
    <w:p w14:paraId="18A17341" w14:textId="5F9F578C" w:rsidR="00430CE2" w:rsidRDefault="00430CE2" w:rsidP="00430CE2">
      <w:pPr>
        <w:rPr>
          <w:lang w:val="en-US"/>
        </w:rPr>
      </w:pPr>
      <w:r>
        <w:rPr>
          <w:lang w:val="en-US"/>
        </w:rPr>
        <w:t xml:space="preserve">This is a hard thing to </w:t>
      </w:r>
      <w:r w:rsidR="001B5F9C">
        <w:rPr>
          <w:lang w:val="en-US"/>
        </w:rPr>
        <w:t>calculate,</w:t>
      </w:r>
      <w:r>
        <w:rPr>
          <w:lang w:val="en-US"/>
        </w:rPr>
        <w:t xml:space="preserve"> and it will vary massively depending on start dates and career journeys.  </w:t>
      </w:r>
      <w:r w:rsidR="00C92B21">
        <w:rPr>
          <w:lang w:val="en-US"/>
        </w:rPr>
        <w:t>However,</w:t>
      </w:r>
      <w:r>
        <w:rPr>
          <w:lang w:val="en-US"/>
        </w:rPr>
        <w:t xml:space="preserve"> we </w:t>
      </w:r>
      <w:r w:rsidR="00A65F9B">
        <w:rPr>
          <w:lang w:val="en-US"/>
        </w:rPr>
        <w:t>can</w:t>
      </w:r>
      <w:r>
        <w:rPr>
          <w:lang w:val="en-US"/>
        </w:rPr>
        <w:t xml:space="preserve"> calculate this for staff who have been </w:t>
      </w:r>
      <w:r w:rsidR="00C92B21">
        <w:rPr>
          <w:lang w:val="en-US"/>
        </w:rPr>
        <w:t xml:space="preserve">at the </w:t>
      </w:r>
      <w:r>
        <w:rPr>
          <w:lang w:val="en-US"/>
        </w:rPr>
        <w:t>top of band</w:t>
      </w:r>
      <w:r w:rsidR="00C92B21">
        <w:rPr>
          <w:lang w:val="en-US"/>
        </w:rPr>
        <w:t xml:space="preserve"> since 2010</w:t>
      </w:r>
      <w:r w:rsidR="00D76BDC">
        <w:rPr>
          <w:lang w:val="en-US"/>
        </w:rPr>
        <w:t xml:space="preserve"> (or the years since staff have been at top of band)</w:t>
      </w:r>
      <w:r>
        <w:rPr>
          <w:lang w:val="en-US"/>
        </w:rPr>
        <w:t xml:space="preserve">.  The </w:t>
      </w:r>
      <w:r w:rsidR="00A65F9B">
        <w:rPr>
          <w:lang w:val="en-US"/>
        </w:rPr>
        <w:t>chart below</w:t>
      </w:r>
      <w:r>
        <w:rPr>
          <w:lang w:val="en-US"/>
        </w:rPr>
        <w:t xml:space="preserve"> shows the amount of extra money that staff on each band </w:t>
      </w:r>
      <w:proofErr w:type="gramStart"/>
      <w:r>
        <w:rPr>
          <w:lang w:val="en-US"/>
        </w:rPr>
        <w:t>would have</w:t>
      </w:r>
      <w:proofErr w:type="gramEnd"/>
      <w:r>
        <w:rPr>
          <w:lang w:val="en-US"/>
        </w:rPr>
        <w:t xml:space="preserve"> earned in the past 15 years had wages </w:t>
      </w:r>
      <w:proofErr w:type="gramStart"/>
      <w:r>
        <w:rPr>
          <w:lang w:val="en-US"/>
        </w:rPr>
        <w:t>increase</w:t>
      </w:r>
      <w:r w:rsidR="00A65F9B">
        <w:rPr>
          <w:lang w:val="en-US"/>
        </w:rPr>
        <w:t>d</w:t>
      </w:r>
      <w:proofErr w:type="gramEnd"/>
      <w:r>
        <w:rPr>
          <w:lang w:val="en-US"/>
        </w:rPr>
        <w:t xml:space="preserve"> by RPI (thus keeping pace with the cost of living).</w:t>
      </w:r>
    </w:p>
    <w:tbl>
      <w:tblPr>
        <w:tblW w:w="9240" w:type="dxa"/>
        <w:tblLook w:val="04A0" w:firstRow="1" w:lastRow="0" w:firstColumn="1" w:lastColumn="0" w:noHBand="0" w:noVBand="1"/>
      </w:tblPr>
      <w:tblGrid>
        <w:gridCol w:w="960"/>
        <w:gridCol w:w="3060"/>
        <w:gridCol w:w="3780"/>
        <w:gridCol w:w="1440"/>
      </w:tblGrid>
      <w:tr w:rsidR="00430CE2" w:rsidRPr="00430CE2" w14:paraId="6CCC66EF" w14:textId="77777777" w:rsidTr="00DF0070">
        <w:trPr>
          <w:trHeight w:val="645"/>
        </w:trPr>
        <w:tc>
          <w:tcPr>
            <w:tcW w:w="960" w:type="dxa"/>
            <w:tcBorders>
              <w:top w:val="single" w:sz="4" w:space="0" w:color="auto"/>
              <w:left w:val="single" w:sz="4" w:space="0" w:color="auto"/>
              <w:bottom w:val="single" w:sz="4" w:space="0" w:color="auto"/>
              <w:right w:val="single" w:sz="4" w:space="0" w:color="auto"/>
            </w:tcBorders>
            <w:shd w:val="clear" w:color="000000" w:fill="E49EDD"/>
            <w:noWrap/>
            <w:vAlign w:val="bottom"/>
            <w:hideMark/>
          </w:tcPr>
          <w:p w14:paraId="04CF3D43" w14:textId="77777777" w:rsidR="00430CE2" w:rsidRPr="00430CE2" w:rsidRDefault="00430CE2" w:rsidP="00DF0070">
            <w:pPr>
              <w:spacing w:after="0" w:line="240" w:lineRule="auto"/>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Band</w:t>
            </w:r>
          </w:p>
        </w:tc>
        <w:tc>
          <w:tcPr>
            <w:tcW w:w="3060" w:type="dxa"/>
            <w:tcBorders>
              <w:top w:val="single" w:sz="4" w:space="0" w:color="auto"/>
              <w:left w:val="nil"/>
              <w:bottom w:val="single" w:sz="4" w:space="0" w:color="auto"/>
              <w:right w:val="single" w:sz="4" w:space="0" w:color="auto"/>
            </w:tcBorders>
            <w:shd w:val="clear" w:color="000000" w:fill="C1F0C8"/>
            <w:noWrap/>
            <w:vAlign w:val="bottom"/>
            <w:hideMark/>
          </w:tcPr>
          <w:p w14:paraId="1D6DF31B" w14:textId="77777777" w:rsidR="00430CE2" w:rsidRPr="00430CE2" w:rsidRDefault="00430CE2" w:rsidP="00DF0070">
            <w:pPr>
              <w:spacing w:after="0" w:line="240" w:lineRule="auto"/>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total cumulative earnings 2010/11 - 2025/26</w:t>
            </w:r>
          </w:p>
        </w:tc>
        <w:tc>
          <w:tcPr>
            <w:tcW w:w="3780" w:type="dxa"/>
            <w:tcBorders>
              <w:top w:val="single" w:sz="4" w:space="0" w:color="auto"/>
              <w:left w:val="nil"/>
              <w:bottom w:val="single" w:sz="4" w:space="0" w:color="auto"/>
              <w:right w:val="single" w:sz="4" w:space="0" w:color="auto"/>
            </w:tcBorders>
            <w:shd w:val="clear" w:color="000000" w:fill="E49EDD"/>
            <w:noWrap/>
            <w:vAlign w:val="bottom"/>
            <w:hideMark/>
          </w:tcPr>
          <w:p w14:paraId="1E141C64" w14:textId="77777777" w:rsidR="00430CE2" w:rsidRPr="00430CE2" w:rsidRDefault="00430CE2" w:rsidP="00DF0070">
            <w:pPr>
              <w:spacing w:after="0" w:line="240" w:lineRule="auto"/>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total cumulative earnings 2010/11 - 2025/26 if salaries increase by RPI</w:t>
            </w:r>
          </w:p>
        </w:tc>
        <w:tc>
          <w:tcPr>
            <w:tcW w:w="1440" w:type="dxa"/>
            <w:tcBorders>
              <w:top w:val="single" w:sz="4" w:space="0" w:color="auto"/>
              <w:left w:val="nil"/>
              <w:bottom w:val="single" w:sz="4" w:space="0" w:color="auto"/>
              <w:right w:val="single" w:sz="4" w:space="0" w:color="auto"/>
            </w:tcBorders>
            <w:shd w:val="clear" w:color="000000" w:fill="C1F0C8"/>
            <w:noWrap/>
            <w:vAlign w:val="bottom"/>
            <w:hideMark/>
          </w:tcPr>
          <w:p w14:paraId="0491EA0B" w14:textId="77777777" w:rsidR="00430CE2" w:rsidRPr="00430CE2" w:rsidRDefault="00430CE2" w:rsidP="00DF0070">
            <w:pPr>
              <w:spacing w:after="0" w:line="240" w:lineRule="auto"/>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Difference</w:t>
            </w:r>
          </w:p>
        </w:tc>
      </w:tr>
      <w:tr w:rsidR="00430CE2" w:rsidRPr="00430CE2" w14:paraId="45A836CE"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7895CED7"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2</w:t>
            </w:r>
          </w:p>
        </w:tc>
        <w:tc>
          <w:tcPr>
            <w:tcW w:w="3060" w:type="dxa"/>
            <w:tcBorders>
              <w:top w:val="nil"/>
              <w:left w:val="nil"/>
              <w:bottom w:val="single" w:sz="4" w:space="0" w:color="auto"/>
              <w:right w:val="single" w:sz="4" w:space="0" w:color="auto"/>
            </w:tcBorders>
            <w:shd w:val="clear" w:color="000000" w:fill="E49EDD"/>
            <w:noWrap/>
            <w:vAlign w:val="bottom"/>
            <w:hideMark/>
          </w:tcPr>
          <w:p w14:paraId="262CFD3A"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£349,805</w:t>
            </w:r>
          </w:p>
        </w:tc>
        <w:tc>
          <w:tcPr>
            <w:tcW w:w="3780" w:type="dxa"/>
            <w:tcBorders>
              <w:top w:val="nil"/>
              <w:left w:val="nil"/>
              <w:bottom w:val="single" w:sz="4" w:space="0" w:color="auto"/>
              <w:right w:val="single" w:sz="4" w:space="0" w:color="auto"/>
            </w:tcBorders>
            <w:shd w:val="clear" w:color="000000" w:fill="C1F0C8"/>
            <w:noWrap/>
            <w:vAlign w:val="bottom"/>
            <w:hideMark/>
          </w:tcPr>
          <w:p w14:paraId="26FB5BEF"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£308,725</w:t>
            </w:r>
          </w:p>
        </w:tc>
        <w:tc>
          <w:tcPr>
            <w:tcW w:w="1440" w:type="dxa"/>
            <w:tcBorders>
              <w:top w:val="nil"/>
              <w:left w:val="nil"/>
              <w:bottom w:val="single" w:sz="4" w:space="0" w:color="auto"/>
              <w:right w:val="single" w:sz="4" w:space="0" w:color="auto"/>
            </w:tcBorders>
            <w:shd w:val="clear" w:color="000000" w:fill="E49EDD"/>
            <w:noWrap/>
            <w:vAlign w:val="bottom"/>
            <w:hideMark/>
          </w:tcPr>
          <w:p w14:paraId="1402ACB4"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£41,080</w:t>
            </w:r>
          </w:p>
        </w:tc>
      </w:tr>
      <w:tr w:rsidR="00430CE2" w:rsidRPr="00430CE2" w14:paraId="173D6F21"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614B4644"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3</w:t>
            </w:r>
          </w:p>
        </w:tc>
        <w:tc>
          <w:tcPr>
            <w:tcW w:w="3060" w:type="dxa"/>
            <w:tcBorders>
              <w:top w:val="nil"/>
              <w:left w:val="nil"/>
              <w:bottom w:val="single" w:sz="4" w:space="0" w:color="auto"/>
              <w:right w:val="single" w:sz="4" w:space="0" w:color="auto"/>
            </w:tcBorders>
            <w:shd w:val="clear" w:color="000000" w:fill="E49EDD"/>
            <w:noWrap/>
            <w:vAlign w:val="bottom"/>
            <w:hideMark/>
          </w:tcPr>
          <w:p w14:paraId="1FD378D8"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£387,891</w:t>
            </w:r>
          </w:p>
        </w:tc>
        <w:tc>
          <w:tcPr>
            <w:tcW w:w="3780" w:type="dxa"/>
            <w:tcBorders>
              <w:top w:val="nil"/>
              <w:left w:val="nil"/>
              <w:bottom w:val="single" w:sz="4" w:space="0" w:color="auto"/>
              <w:right w:val="single" w:sz="4" w:space="0" w:color="auto"/>
            </w:tcBorders>
            <w:shd w:val="clear" w:color="000000" w:fill="C1F0C8"/>
            <w:noWrap/>
            <w:vAlign w:val="bottom"/>
            <w:hideMark/>
          </w:tcPr>
          <w:p w14:paraId="0ECFBDA7"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£338,125</w:t>
            </w:r>
          </w:p>
        </w:tc>
        <w:tc>
          <w:tcPr>
            <w:tcW w:w="1440" w:type="dxa"/>
            <w:tcBorders>
              <w:top w:val="nil"/>
              <w:left w:val="nil"/>
              <w:bottom w:val="single" w:sz="4" w:space="0" w:color="auto"/>
              <w:right w:val="single" w:sz="4" w:space="0" w:color="auto"/>
            </w:tcBorders>
            <w:shd w:val="clear" w:color="000000" w:fill="E49EDD"/>
            <w:noWrap/>
            <w:vAlign w:val="bottom"/>
            <w:hideMark/>
          </w:tcPr>
          <w:p w14:paraId="52AB7893"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£49,766</w:t>
            </w:r>
          </w:p>
        </w:tc>
      </w:tr>
      <w:tr w:rsidR="00430CE2" w:rsidRPr="00430CE2" w14:paraId="7E8852E7"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2ADD02A8"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4</w:t>
            </w:r>
          </w:p>
        </w:tc>
        <w:tc>
          <w:tcPr>
            <w:tcW w:w="3060" w:type="dxa"/>
            <w:tcBorders>
              <w:top w:val="nil"/>
              <w:left w:val="nil"/>
              <w:bottom w:val="single" w:sz="4" w:space="0" w:color="auto"/>
              <w:right w:val="single" w:sz="4" w:space="0" w:color="auto"/>
            </w:tcBorders>
            <w:shd w:val="clear" w:color="000000" w:fill="E49EDD"/>
            <w:noWrap/>
            <w:vAlign w:val="bottom"/>
            <w:hideMark/>
          </w:tcPr>
          <w:p w14:paraId="7BBBAD50"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£455,146</w:t>
            </w:r>
          </w:p>
        </w:tc>
        <w:tc>
          <w:tcPr>
            <w:tcW w:w="3780" w:type="dxa"/>
            <w:tcBorders>
              <w:top w:val="nil"/>
              <w:left w:val="nil"/>
              <w:bottom w:val="single" w:sz="4" w:space="0" w:color="auto"/>
              <w:right w:val="single" w:sz="4" w:space="0" w:color="auto"/>
            </w:tcBorders>
            <w:shd w:val="clear" w:color="000000" w:fill="C1F0C8"/>
            <w:noWrap/>
            <w:vAlign w:val="bottom"/>
            <w:hideMark/>
          </w:tcPr>
          <w:p w14:paraId="69F4BE6F"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£386,340</w:t>
            </w:r>
          </w:p>
        </w:tc>
        <w:tc>
          <w:tcPr>
            <w:tcW w:w="1440" w:type="dxa"/>
            <w:tcBorders>
              <w:top w:val="nil"/>
              <w:left w:val="nil"/>
              <w:bottom w:val="single" w:sz="4" w:space="0" w:color="auto"/>
              <w:right w:val="single" w:sz="4" w:space="0" w:color="auto"/>
            </w:tcBorders>
            <w:shd w:val="clear" w:color="000000" w:fill="E49EDD"/>
            <w:noWrap/>
            <w:vAlign w:val="bottom"/>
            <w:hideMark/>
          </w:tcPr>
          <w:p w14:paraId="6D3AA993"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£68,805</w:t>
            </w:r>
          </w:p>
        </w:tc>
      </w:tr>
      <w:tr w:rsidR="00430CE2" w:rsidRPr="00430CE2" w14:paraId="600CFFCB"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4EE15457"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5</w:t>
            </w:r>
          </w:p>
        </w:tc>
        <w:tc>
          <w:tcPr>
            <w:tcW w:w="3060" w:type="dxa"/>
            <w:tcBorders>
              <w:top w:val="nil"/>
              <w:left w:val="nil"/>
              <w:bottom w:val="single" w:sz="4" w:space="0" w:color="auto"/>
              <w:right w:val="single" w:sz="4" w:space="0" w:color="auto"/>
            </w:tcBorders>
            <w:shd w:val="clear" w:color="000000" w:fill="E49EDD"/>
            <w:noWrap/>
            <w:vAlign w:val="bottom"/>
            <w:hideMark/>
          </w:tcPr>
          <w:p w14:paraId="356D6127"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£574,914</w:t>
            </w:r>
          </w:p>
        </w:tc>
        <w:tc>
          <w:tcPr>
            <w:tcW w:w="3780" w:type="dxa"/>
            <w:tcBorders>
              <w:top w:val="nil"/>
              <w:left w:val="nil"/>
              <w:bottom w:val="single" w:sz="4" w:space="0" w:color="auto"/>
              <w:right w:val="single" w:sz="4" w:space="0" w:color="auto"/>
            </w:tcBorders>
            <w:shd w:val="clear" w:color="000000" w:fill="C1F0C8"/>
            <w:noWrap/>
            <w:vAlign w:val="bottom"/>
            <w:hideMark/>
          </w:tcPr>
          <w:p w14:paraId="4034DCF3"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£487,916</w:t>
            </w:r>
          </w:p>
        </w:tc>
        <w:tc>
          <w:tcPr>
            <w:tcW w:w="1440" w:type="dxa"/>
            <w:tcBorders>
              <w:top w:val="nil"/>
              <w:left w:val="nil"/>
              <w:bottom w:val="single" w:sz="4" w:space="0" w:color="auto"/>
              <w:right w:val="single" w:sz="4" w:space="0" w:color="auto"/>
            </w:tcBorders>
            <w:shd w:val="clear" w:color="000000" w:fill="E49EDD"/>
            <w:noWrap/>
            <w:vAlign w:val="bottom"/>
            <w:hideMark/>
          </w:tcPr>
          <w:p w14:paraId="470D3091"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£86,998</w:t>
            </w:r>
          </w:p>
        </w:tc>
      </w:tr>
      <w:tr w:rsidR="00430CE2" w:rsidRPr="00430CE2" w14:paraId="79D47008"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6DBDF5C5"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6</w:t>
            </w:r>
          </w:p>
        </w:tc>
        <w:tc>
          <w:tcPr>
            <w:tcW w:w="3060" w:type="dxa"/>
            <w:tcBorders>
              <w:top w:val="nil"/>
              <w:left w:val="nil"/>
              <w:bottom w:val="single" w:sz="4" w:space="0" w:color="auto"/>
              <w:right w:val="single" w:sz="4" w:space="0" w:color="auto"/>
            </w:tcBorders>
            <w:shd w:val="clear" w:color="000000" w:fill="E49EDD"/>
            <w:noWrap/>
            <w:vAlign w:val="bottom"/>
            <w:hideMark/>
          </w:tcPr>
          <w:p w14:paraId="2B8A7D67"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£713,872</w:t>
            </w:r>
          </w:p>
        </w:tc>
        <w:tc>
          <w:tcPr>
            <w:tcW w:w="3780" w:type="dxa"/>
            <w:tcBorders>
              <w:top w:val="nil"/>
              <w:left w:val="nil"/>
              <w:bottom w:val="single" w:sz="4" w:space="0" w:color="auto"/>
              <w:right w:val="single" w:sz="4" w:space="0" w:color="auto"/>
            </w:tcBorders>
            <w:shd w:val="clear" w:color="000000" w:fill="C1F0C8"/>
            <w:noWrap/>
            <w:vAlign w:val="bottom"/>
            <w:hideMark/>
          </w:tcPr>
          <w:p w14:paraId="7AF9B58D"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£603,226</w:t>
            </w:r>
          </w:p>
        </w:tc>
        <w:tc>
          <w:tcPr>
            <w:tcW w:w="1440" w:type="dxa"/>
            <w:tcBorders>
              <w:top w:val="nil"/>
              <w:left w:val="nil"/>
              <w:bottom w:val="single" w:sz="4" w:space="0" w:color="auto"/>
              <w:right w:val="single" w:sz="4" w:space="0" w:color="auto"/>
            </w:tcBorders>
            <w:shd w:val="clear" w:color="000000" w:fill="E49EDD"/>
            <w:noWrap/>
            <w:vAlign w:val="bottom"/>
            <w:hideMark/>
          </w:tcPr>
          <w:p w14:paraId="58B6D9F5"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£110,646</w:t>
            </w:r>
          </w:p>
        </w:tc>
      </w:tr>
      <w:tr w:rsidR="00430CE2" w:rsidRPr="00430CE2" w14:paraId="2F8509BB"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65DACF8D"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7</w:t>
            </w:r>
          </w:p>
        </w:tc>
        <w:tc>
          <w:tcPr>
            <w:tcW w:w="3060" w:type="dxa"/>
            <w:tcBorders>
              <w:top w:val="nil"/>
              <w:left w:val="nil"/>
              <w:bottom w:val="single" w:sz="4" w:space="0" w:color="auto"/>
              <w:right w:val="single" w:sz="4" w:space="0" w:color="auto"/>
            </w:tcBorders>
            <w:shd w:val="clear" w:color="000000" w:fill="E49EDD"/>
            <w:noWrap/>
            <w:vAlign w:val="bottom"/>
            <w:hideMark/>
          </w:tcPr>
          <w:p w14:paraId="16593CC0"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£838,485</w:t>
            </w:r>
          </w:p>
        </w:tc>
        <w:tc>
          <w:tcPr>
            <w:tcW w:w="3780" w:type="dxa"/>
            <w:tcBorders>
              <w:top w:val="nil"/>
              <w:left w:val="nil"/>
              <w:bottom w:val="single" w:sz="4" w:space="0" w:color="auto"/>
              <w:right w:val="single" w:sz="4" w:space="0" w:color="auto"/>
            </w:tcBorders>
            <w:shd w:val="clear" w:color="000000" w:fill="C1F0C8"/>
            <w:noWrap/>
            <w:vAlign w:val="bottom"/>
            <w:hideMark/>
          </w:tcPr>
          <w:p w14:paraId="787C5422"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£708,519</w:t>
            </w:r>
          </w:p>
        </w:tc>
        <w:tc>
          <w:tcPr>
            <w:tcW w:w="1440" w:type="dxa"/>
            <w:tcBorders>
              <w:top w:val="nil"/>
              <w:left w:val="nil"/>
              <w:bottom w:val="single" w:sz="4" w:space="0" w:color="auto"/>
              <w:right w:val="single" w:sz="4" w:space="0" w:color="auto"/>
            </w:tcBorders>
            <w:shd w:val="clear" w:color="000000" w:fill="E49EDD"/>
            <w:noWrap/>
            <w:vAlign w:val="bottom"/>
            <w:hideMark/>
          </w:tcPr>
          <w:p w14:paraId="54B49A01"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£129,965</w:t>
            </w:r>
          </w:p>
        </w:tc>
      </w:tr>
      <w:tr w:rsidR="00430CE2" w:rsidRPr="00430CE2" w14:paraId="1E146FC5"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1DD31DF5"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8a</w:t>
            </w:r>
          </w:p>
        </w:tc>
        <w:tc>
          <w:tcPr>
            <w:tcW w:w="3060" w:type="dxa"/>
            <w:tcBorders>
              <w:top w:val="nil"/>
              <w:left w:val="nil"/>
              <w:bottom w:val="single" w:sz="4" w:space="0" w:color="auto"/>
              <w:right w:val="single" w:sz="4" w:space="0" w:color="auto"/>
            </w:tcBorders>
            <w:shd w:val="clear" w:color="000000" w:fill="E49EDD"/>
            <w:noWrap/>
            <w:vAlign w:val="bottom"/>
            <w:hideMark/>
          </w:tcPr>
          <w:p w14:paraId="4730FD5F"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£973,454</w:t>
            </w:r>
          </w:p>
        </w:tc>
        <w:tc>
          <w:tcPr>
            <w:tcW w:w="3780" w:type="dxa"/>
            <w:tcBorders>
              <w:top w:val="nil"/>
              <w:left w:val="nil"/>
              <w:bottom w:val="single" w:sz="4" w:space="0" w:color="auto"/>
              <w:right w:val="single" w:sz="4" w:space="0" w:color="auto"/>
            </w:tcBorders>
            <w:shd w:val="clear" w:color="000000" w:fill="C1F0C8"/>
            <w:noWrap/>
            <w:vAlign w:val="bottom"/>
            <w:hideMark/>
          </w:tcPr>
          <w:p w14:paraId="3D74F649"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£819,446</w:t>
            </w:r>
          </w:p>
        </w:tc>
        <w:tc>
          <w:tcPr>
            <w:tcW w:w="1440" w:type="dxa"/>
            <w:tcBorders>
              <w:top w:val="nil"/>
              <w:left w:val="nil"/>
              <w:bottom w:val="single" w:sz="4" w:space="0" w:color="auto"/>
              <w:right w:val="single" w:sz="4" w:space="0" w:color="auto"/>
            </w:tcBorders>
            <w:shd w:val="clear" w:color="000000" w:fill="E49EDD"/>
            <w:noWrap/>
            <w:vAlign w:val="bottom"/>
            <w:hideMark/>
          </w:tcPr>
          <w:p w14:paraId="4B192104"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£154,008</w:t>
            </w:r>
          </w:p>
        </w:tc>
      </w:tr>
      <w:tr w:rsidR="00430CE2" w:rsidRPr="00430CE2" w14:paraId="1BED2A18"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11109FD4"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8b</w:t>
            </w:r>
          </w:p>
        </w:tc>
        <w:tc>
          <w:tcPr>
            <w:tcW w:w="3060" w:type="dxa"/>
            <w:tcBorders>
              <w:top w:val="nil"/>
              <w:left w:val="nil"/>
              <w:bottom w:val="single" w:sz="4" w:space="0" w:color="auto"/>
              <w:right w:val="single" w:sz="4" w:space="0" w:color="auto"/>
            </w:tcBorders>
            <w:shd w:val="clear" w:color="000000" w:fill="E49EDD"/>
            <w:noWrap/>
            <w:vAlign w:val="bottom"/>
            <w:hideMark/>
          </w:tcPr>
          <w:p w14:paraId="45D03187"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£1,168,141</w:t>
            </w:r>
          </w:p>
        </w:tc>
        <w:tc>
          <w:tcPr>
            <w:tcW w:w="3780" w:type="dxa"/>
            <w:tcBorders>
              <w:top w:val="nil"/>
              <w:left w:val="nil"/>
              <w:bottom w:val="single" w:sz="4" w:space="0" w:color="auto"/>
              <w:right w:val="single" w:sz="4" w:space="0" w:color="auto"/>
            </w:tcBorders>
            <w:shd w:val="clear" w:color="000000" w:fill="C1F0C8"/>
            <w:noWrap/>
            <w:vAlign w:val="bottom"/>
            <w:hideMark/>
          </w:tcPr>
          <w:p w14:paraId="5F08D3A5"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£982,120</w:t>
            </w:r>
          </w:p>
        </w:tc>
        <w:tc>
          <w:tcPr>
            <w:tcW w:w="1440" w:type="dxa"/>
            <w:tcBorders>
              <w:top w:val="nil"/>
              <w:left w:val="nil"/>
              <w:bottom w:val="single" w:sz="4" w:space="0" w:color="auto"/>
              <w:right w:val="single" w:sz="4" w:space="0" w:color="auto"/>
            </w:tcBorders>
            <w:shd w:val="clear" w:color="000000" w:fill="E49EDD"/>
            <w:noWrap/>
            <w:vAlign w:val="bottom"/>
            <w:hideMark/>
          </w:tcPr>
          <w:p w14:paraId="70AC4558"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£186,021</w:t>
            </w:r>
          </w:p>
        </w:tc>
      </w:tr>
      <w:tr w:rsidR="00430CE2" w:rsidRPr="00430CE2" w14:paraId="33EAC6DB"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7474AE90"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8c</w:t>
            </w:r>
          </w:p>
        </w:tc>
        <w:tc>
          <w:tcPr>
            <w:tcW w:w="3060" w:type="dxa"/>
            <w:tcBorders>
              <w:top w:val="nil"/>
              <w:left w:val="nil"/>
              <w:bottom w:val="single" w:sz="4" w:space="0" w:color="auto"/>
              <w:right w:val="single" w:sz="4" w:space="0" w:color="auto"/>
            </w:tcBorders>
            <w:shd w:val="clear" w:color="000000" w:fill="E49EDD"/>
            <w:noWrap/>
            <w:vAlign w:val="bottom"/>
            <w:hideMark/>
          </w:tcPr>
          <w:p w14:paraId="3B59ADF8"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£1,401,769</w:t>
            </w:r>
          </w:p>
        </w:tc>
        <w:tc>
          <w:tcPr>
            <w:tcW w:w="3780" w:type="dxa"/>
            <w:tcBorders>
              <w:top w:val="nil"/>
              <w:left w:val="nil"/>
              <w:bottom w:val="single" w:sz="4" w:space="0" w:color="auto"/>
              <w:right w:val="single" w:sz="4" w:space="0" w:color="auto"/>
            </w:tcBorders>
            <w:shd w:val="clear" w:color="000000" w:fill="C1F0C8"/>
            <w:noWrap/>
            <w:vAlign w:val="bottom"/>
            <w:hideMark/>
          </w:tcPr>
          <w:p w14:paraId="7A73CD0B"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£1,169,221</w:t>
            </w:r>
          </w:p>
        </w:tc>
        <w:tc>
          <w:tcPr>
            <w:tcW w:w="1440" w:type="dxa"/>
            <w:tcBorders>
              <w:top w:val="nil"/>
              <w:left w:val="nil"/>
              <w:bottom w:val="single" w:sz="4" w:space="0" w:color="auto"/>
              <w:right w:val="single" w:sz="4" w:space="0" w:color="auto"/>
            </w:tcBorders>
            <w:shd w:val="clear" w:color="000000" w:fill="E49EDD"/>
            <w:noWrap/>
            <w:vAlign w:val="bottom"/>
            <w:hideMark/>
          </w:tcPr>
          <w:p w14:paraId="478E29EA" w14:textId="77777777" w:rsidR="00430CE2" w:rsidRPr="00430CE2" w:rsidRDefault="00430CE2" w:rsidP="00DF0070">
            <w:pPr>
              <w:spacing w:after="0" w:line="240" w:lineRule="auto"/>
              <w:jc w:val="right"/>
              <w:rPr>
                <w:rFonts w:ascii="Aptos Narrow" w:eastAsia="Times New Roman" w:hAnsi="Aptos Narrow" w:cs="Times New Roman"/>
                <w:b/>
                <w:bCs/>
                <w:kern w:val="0"/>
                <w:sz w:val="24"/>
                <w:szCs w:val="24"/>
                <w:lang w:eastAsia="en-GB"/>
                <w14:ligatures w14:val="none"/>
              </w:rPr>
            </w:pPr>
            <w:r w:rsidRPr="00430CE2">
              <w:rPr>
                <w:rFonts w:ascii="Aptos Narrow" w:eastAsia="Times New Roman" w:hAnsi="Aptos Narrow" w:cs="Times New Roman"/>
                <w:b/>
                <w:bCs/>
                <w:kern w:val="0"/>
                <w:sz w:val="24"/>
                <w:szCs w:val="24"/>
                <w:lang w:eastAsia="en-GB"/>
                <w14:ligatures w14:val="none"/>
              </w:rPr>
              <w:t>£232,548</w:t>
            </w:r>
          </w:p>
        </w:tc>
      </w:tr>
      <w:tr w:rsidR="00430CE2" w:rsidRPr="00430CE2" w14:paraId="4CF06020"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50DB9906"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8d</w:t>
            </w:r>
          </w:p>
        </w:tc>
        <w:tc>
          <w:tcPr>
            <w:tcW w:w="3060" w:type="dxa"/>
            <w:tcBorders>
              <w:top w:val="nil"/>
              <w:left w:val="nil"/>
              <w:bottom w:val="single" w:sz="4" w:space="0" w:color="auto"/>
              <w:right w:val="single" w:sz="4" w:space="0" w:color="auto"/>
            </w:tcBorders>
            <w:shd w:val="clear" w:color="000000" w:fill="E49EDD"/>
            <w:noWrap/>
            <w:vAlign w:val="bottom"/>
            <w:hideMark/>
          </w:tcPr>
          <w:p w14:paraId="138A5060"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£1,687,326</w:t>
            </w:r>
          </w:p>
        </w:tc>
        <w:tc>
          <w:tcPr>
            <w:tcW w:w="3780" w:type="dxa"/>
            <w:tcBorders>
              <w:top w:val="nil"/>
              <w:left w:val="nil"/>
              <w:bottom w:val="single" w:sz="4" w:space="0" w:color="auto"/>
              <w:right w:val="single" w:sz="4" w:space="0" w:color="auto"/>
            </w:tcBorders>
            <w:shd w:val="clear" w:color="000000" w:fill="C1F0C8"/>
            <w:noWrap/>
            <w:vAlign w:val="bottom"/>
            <w:hideMark/>
          </w:tcPr>
          <w:p w14:paraId="3C3A3A82"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£1,399,131</w:t>
            </w:r>
          </w:p>
        </w:tc>
        <w:tc>
          <w:tcPr>
            <w:tcW w:w="1440" w:type="dxa"/>
            <w:tcBorders>
              <w:top w:val="nil"/>
              <w:left w:val="nil"/>
              <w:bottom w:val="single" w:sz="4" w:space="0" w:color="auto"/>
              <w:right w:val="single" w:sz="4" w:space="0" w:color="auto"/>
            </w:tcBorders>
            <w:shd w:val="clear" w:color="000000" w:fill="E49EDD"/>
            <w:noWrap/>
            <w:vAlign w:val="bottom"/>
            <w:hideMark/>
          </w:tcPr>
          <w:p w14:paraId="20E35995" w14:textId="77777777" w:rsidR="00430CE2" w:rsidRPr="00430CE2" w:rsidRDefault="00430CE2" w:rsidP="00DF0070">
            <w:pPr>
              <w:spacing w:after="0" w:line="240" w:lineRule="auto"/>
              <w:jc w:val="right"/>
              <w:rPr>
                <w:rFonts w:ascii="Aptos Narrow" w:eastAsia="Times New Roman" w:hAnsi="Aptos Narrow" w:cs="Times New Roman"/>
                <w:b/>
                <w:bCs/>
                <w:color w:val="000000"/>
                <w:kern w:val="0"/>
                <w:sz w:val="24"/>
                <w:szCs w:val="24"/>
                <w:lang w:eastAsia="en-GB"/>
                <w14:ligatures w14:val="none"/>
              </w:rPr>
            </w:pPr>
            <w:r w:rsidRPr="00430CE2">
              <w:rPr>
                <w:rFonts w:ascii="Aptos Narrow" w:eastAsia="Times New Roman" w:hAnsi="Aptos Narrow" w:cs="Times New Roman"/>
                <w:b/>
                <w:bCs/>
                <w:color w:val="000000"/>
                <w:kern w:val="0"/>
                <w:sz w:val="24"/>
                <w:szCs w:val="24"/>
                <w:lang w:eastAsia="en-GB"/>
                <w14:ligatures w14:val="none"/>
              </w:rPr>
              <w:t>£288,195</w:t>
            </w:r>
          </w:p>
        </w:tc>
      </w:tr>
      <w:tr w:rsidR="00430CE2" w:rsidRPr="00430CE2" w14:paraId="3303CD1B" w14:textId="77777777" w:rsidTr="00DF0070">
        <w:trPr>
          <w:trHeight w:val="315"/>
        </w:trPr>
        <w:tc>
          <w:tcPr>
            <w:tcW w:w="960" w:type="dxa"/>
            <w:tcBorders>
              <w:top w:val="nil"/>
              <w:left w:val="single" w:sz="4" w:space="0" w:color="auto"/>
              <w:bottom w:val="single" w:sz="4" w:space="0" w:color="auto"/>
              <w:right w:val="single" w:sz="4" w:space="0" w:color="auto"/>
            </w:tcBorders>
            <w:shd w:val="clear" w:color="000000" w:fill="C1F0C8"/>
            <w:noWrap/>
            <w:vAlign w:val="bottom"/>
            <w:hideMark/>
          </w:tcPr>
          <w:p w14:paraId="3CA491E7"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9</w:t>
            </w:r>
          </w:p>
        </w:tc>
        <w:tc>
          <w:tcPr>
            <w:tcW w:w="3060" w:type="dxa"/>
            <w:tcBorders>
              <w:top w:val="nil"/>
              <w:left w:val="nil"/>
              <w:bottom w:val="single" w:sz="4" w:space="0" w:color="auto"/>
              <w:right w:val="single" w:sz="4" w:space="0" w:color="auto"/>
            </w:tcBorders>
            <w:shd w:val="clear" w:color="000000" w:fill="E49EDD"/>
            <w:noWrap/>
            <w:vAlign w:val="bottom"/>
            <w:hideMark/>
          </w:tcPr>
          <w:p w14:paraId="107E2270"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£2,035,356</w:t>
            </w:r>
          </w:p>
        </w:tc>
        <w:tc>
          <w:tcPr>
            <w:tcW w:w="3780" w:type="dxa"/>
            <w:tcBorders>
              <w:top w:val="nil"/>
              <w:left w:val="nil"/>
              <w:bottom w:val="single" w:sz="4" w:space="0" w:color="auto"/>
              <w:right w:val="single" w:sz="4" w:space="0" w:color="auto"/>
            </w:tcBorders>
            <w:shd w:val="clear" w:color="000000" w:fill="C1F0C8"/>
            <w:noWrap/>
            <w:vAlign w:val="bottom"/>
            <w:hideMark/>
          </w:tcPr>
          <w:p w14:paraId="51FBDC28" w14:textId="77777777" w:rsidR="00430CE2" w:rsidRPr="00430CE2" w:rsidRDefault="00430CE2" w:rsidP="00DF0070">
            <w:pPr>
              <w:spacing w:after="0" w:line="240" w:lineRule="auto"/>
              <w:jc w:val="right"/>
              <w:rPr>
                <w:rFonts w:ascii="Aptos Narrow" w:eastAsia="Times New Roman" w:hAnsi="Aptos Narrow" w:cs="Times New Roman"/>
                <w:color w:val="000000"/>
                <w:kern w:val="0"/>
                <w:sz w:val="24"/>
                <w:szCs w:val="24"/>
                <w:lang w:eastAsia="en-GB"/>
                <w14:ligatures w14:val="none"/>
              </w:rPr>
            </w:pPr>
            <w:r w:rsidRPr="00430CE2">
              <w:rPr>
                <w:rFonts w:ascii="Aptos Narrow" w:eastAsia="Times New Roman" w:hAnsi="Aptos Narrow" w:cs="Times New Roman"/>
                <w:color w:val="000000"/>
                <w:kern w:val="0"/>
                <w:sz w:val="24"/>
                <w:szCs w:val="24"/>
                <w:lang w:eastAsia="en-GB"/>
                <w14:ligatures w14:val="none"/>
              </w:rPr>
              <w:t>£1,679,345</w:t>
            </w:r>
          </w:p>
        </w:tc>
        <w:tc>
          <w:tcPr>
            <w:tcW w:w="1440" w:type="dxa"/>
            <w:tcBorders>
              <w:top w:val="nil"/>
              <w:left w:val="nil"/>
              <w:bottom w:val="single" w:sz="4" w:space="0" w:color="auto"/>
              <w:right w:val="single" w:sz="4" w:space="0" w:color="auto"/>
            </w:tcBorders>
            <w:shd w:val="clear" w:color="000000" w:fill="E49EDD"/>
            <w:noWrap/>
            <w:vAlign w:val="bottom"/>
            <w:hideMark/>
          </w:tcPr>
          <w:p w14:paraId="4639D095" w14:textId="77777777" w:rsidR="00430CE2" w:rsidRPr="00430CE2" w:rsidRDefault="00430CE2" w:rsidP="00DF0070">
            <w:pPr>
              <w:spacing w:after="0" w:line="240" w:lineRule="auto"/>
              <w:jc w:val="right"/>
              <w:rPr>
                <w:rFonts w:ascii="Aptos Narrow" w:eastAsia="Times New Roman" w:hAnsi="Aptos Narrow" w:cs="Times New Roman"/>
                <w:b/>
                <w:bCs/>
                <w:kern w:val="0"/>
                <w:sz w:val="24"/>
                <w:szCs w:val="24"/>
                <w:lang w:eastAsia="en-GB"/>
                <w14:ligatures w14:val="none"/>
              </w:rPr>
            </w:pPr>
            <w:r w:rsidRPr="00430CE2">
              <w:rPr>
                <w:rFonts w:ascii="Aptos Narrow" w:eastAsia="Times New Roman" w:hAnsi="Aptos Narrow" w:cs="Times New Roman"/>
                <w:b/>
                <w:bCs/>
                <w:kern w:val="0"/>
                <w:sz w:val="24"/>
                <w:szCs w:val="24"/>
                <w:lang w:eastAsia="en-GB"/>
                <w14:ligatures w14:val="none"/>
              </w:rPr>
              <w:t>£356,011</w:t>
            </w:r>
          </w:p>
        </w:tc>
      </w:tr>
    </w:tbl>
    <w:p w14:paraId="4C1F0C99" w14:textId="77777777" w:rsidR="00430CE2" w:rsidRPr="00AA3208" w:rsidRDefault="00430CE2" w:rsidP="005F60B3">
      <w:pPr>
        <w:rPr>
          <w:lang w:val="en-US"/>
        </w:rPr>
      </w:pPr>
    </w:p>
    <w:p w14:paraId="303C7337" w14:textId="77777777" w:rsidR="002D2E0C" w:rsidRDefault="00063557" w:rsidP="005F60B3">
      <w:pPr>
        <w:shd w:val="clear" w:color="auto" w:fill="FAE2D5" w:themeFill="accent2" w:themeFillTint="33"/>
        <w:rPr>
          <w:b/>
          <w:bCs/>
          <w:lang w:val="en-US"/>
        </w:rPr>
      </w:pPr>
      <w:r w:rsidRPr="001F30D1">
        <w:rPr>
          <w:b/>
          <w:bCs/>
          <w:lang w:val="en-US"/>
        </w:rPr>
        <w:t>What is a consultative ballot?</w:t>
      </w:r>
      <w:r w:rsidR="002D2E0C" w:rsidRPr="001F30D1">
        <w:rPr>
          <w:b/>
          <w:bCs/>
          <w:lang w:val="en-US"/>
        </w:rPr>
        <w:t xml:space="preserve"> </w:t>
      </w:r>
    </w:p>
    <w:p w14:paraId="1553E229" w14:textId="421F0E2B" w:rsidR="00CF0B14" w:rsidRPr="00CF0B14" w:rsidRDefault="00CF0B14" w:rsidP="002D2E0C">
      <w:pPr>
        <w:rPr>
          <w:lang w:val="en-US"/>
        </w:rPr>
      </w:pPr>
      <w:r>
        <w:rPr>
          <w:lang w:val="en-US"/>
        </w:rPr>
        <w:t xml:space="preserve">A consultative ballot allows a union to </w:t>
      </w:r>
      <w:r w:rsidR="00E83477">
        <w:rPr>
          <w:lang w:val="en-US"/>
        </w:rPr>
        <w:t>gauge</w:t>
      </w:r>
      <w:r>
        <w:rPr>
          <w:lang w:val="en-US"/>
        </w:rPr>
        <w:t xml:space="preserve"> the feelings of its members and test the appetite for industrial action.  </w:t>
      </w:r>
      <w:r w:rsidR="00B650E3">
        <w:rPr>
          <w:lang w:val="en-US"/>
        </w:rPr>
        <w:t xml:space="preserve">It is for internal use only and it is the basis of planning our next steps. </w:t>
      </w:r>
    </w:p>
    <w:p w14:paraId="18A6CF44" w14:textId="518C7191" w:rsidR="007243A1" w:rsidRDefault="007243A1" w:rsidP="005F60B3">
      <w:pPr>
        <w:shd w:val="clear" w:color="auto" w:fill="FAE2D5" w:themeFill="accent2" w:themeFillTint="33"/>
        <w:rPr>
          <w:b/>
          <w:bCs/>
          <w:lang w:val="en-US"/>
        </w:rPr>
      </w:pPr>
      <w:r w:rsidRPr="001F30D1">
        <w:rPr>
          <w:b/>
          <w:bCs/>
          <w:lang w:val="en-US"/>
        </w:rPr>
        <w:lastRenderedPageBreak/>
        <w:t>How do members vote in a consultative ballot?</w:t>
      </w:r>
    </w:p>
    <w:p w14:paraId="4B7870D7" w14:textId="10B6C0BE" w:rsidR="00B650E3" w:rsidRDefault="00B650E3" w:rsidP="002D2E0C">
      <w:pPr>
        <w:rPr>
          <w:lang w:val="en-US"/>
        </w:rPr>
      </w:pPr>
      <w:r>
        <w:rPr>
          <w:lang w:val="en-US"/>
        </w:rPr>
        <w:t>We use a digital system.  You can vote online (using a</w:t>
      </w:r>
      <w:r w:rsidR="00E83477">
        <w:rPr>
          <w:lang w:val="en-US"/>
        </w:rPr>
        <w:t xml:space="preserve">ny digital device).  If you do not have a </w:t>
      </w:r>
      <w:r w:rsidR="00B166ED">
        <w:rPr>
          <w:lang w:val="en-US"/>
        </w:rPr>
        <w:t>digital device</w:t>
      </w:r>
      <w:r w:rsidR="00FB41F6">
        <w:rPr>
          <w:lang w:val="en-US"/>
        </w:rPr>
        <w:t>,</w:t>
      </w:r>
      <w:r w:rsidR="00B166ED">
        <w:rPr>
          <w:lang w:val="en-US"/>
        </w:rPr>
        <w:t xml:space="preserve"> please contact </w:t>
      </w:r>
      <w:hyperlink r:id="rId7" w:history="1">
        <w:r w:rsidR="00B166ED" w:rsidRPr="004B71A6">
          <w:rPr>
            <w:rStyle w:val="Hyperlink"/>
            <w:lang w:val="en-US"/>
          </w:rPr>
          <w:t>healthsector@unitetheunion.org</w:t>
        </w:r>
      </w:hyperlink>
      <w:r w:rsidR="00B166ED">
        <w:rPr>
          <w:lang w:val="en-US"/>
        </w:rPr>
        <w:t xml:space="preserve"> and we will work out a solution.</w:t>
      </w:r>
      <w:r w:rsidR="004073BC">
        <w:rPr>
          <w:lang w:val="en-US"/>
        </w:rPr>
        <w:t xml:space="preserve"> QR codes are being sent in the post by those that we have no email or phone number for.</w:t>
      </w:r>
    </w:p>
    <w:p w14:paraId="20FAB85D" w14:textId="1F873BDE" w:rsidR="007243A1" w:rsidRDefault="007243A1" w:rsidP="005F60B3">
      <w:pPr>
        <w:shd w:val="clear" w:color="auto" w:fill="FAE2D5" w:themeFill="accent2" w:themeFillTint="33"/>
        <w:rPr>
          <w:b/>
          <w:bCs/>
          <w:lang w:val="en-US"/>
        </w:rPr>
      </w:pPr>
      <w:r w:rsidRPr="001F30D1">
        <w:rPr>
          <w:b/>
          <w:bCs/>
          <w:lang w:val="en-US"/>
        </w:rPr>
        <w:t>Why is turn out important?</w:t>
      </w:r>
    </w:p>
    <w:p w14:paraId="0A8620BA" w14:textId="7F231ABE" w:rsidR="00B166ED" w:rsidRPr="00B166ED" w:rsidRDefault="004056D0" w:rsidP="002D2E0C">
      <w:pPr>
        <w:rPr>
          <w:lang w:val="en-US"/>
        </w:rPr>
      </w:pPr>
      <w:r>
        <w:rPr>
          <w:lang w:val="en-US"/>
        </w:rPr>
        <w:t>I</w:t>
      </w:r>
      <w:r w:rsidR="00B166ED">
        <w:rPr>
          <w:lang w:val="en-US"/>
        </w:rPr>
        <w:t>ndustrial action</w:t>
      </w:r>
      <w:r w:rsidRPr="004056D0">
        <w:rPr>
          <w:lang w:val="en-US"/>
        </w:rPr>
        <w:t xml:space="preserve"> </w:t>
      </w:r>
      <w:r>
        <w:rPr>
          <w:lang w:val="en-US"/>
        </w:rPr>
        <w:t>is governed by very restrictive laws in the UK</w:t>
      </w:r>
      <w:r w:rsidR="00B166ED">
        <w:rPr>
          <w:lang w:val="en-US"/>
        </w:rPr>
        <w:t>.</w:t>
      </w:r>
      <w:r>
        <w:rPr>
          <w:lang w:val="en-US"/>
        </w:rPr>
        <w:t xml:space="preserve">  </w:t>
      </w:r>
      <w:proofErr w:type="gramStart"/>
      <w:r>
        <w:rPr>
          <w:lang w:val="en-US"/>
        </w:rPr>
        <w:t>In order to</w:t>
      </w:r>
      <w:proofErr w:type="gramEnd"/>
      <w:r>
        <w:rPr>
          <w:lang w:val="en-US"/>
        </w:rPr>
        <w:t xml:space="preserve"> b</w:t>
      </w:r>
      <w:r w:rsidR="00567C45">
        <w:rPr>
          <w:lang w:val="en-US"/>
        </w:rPr>
        <w:t>e</w:t>
      </w:r>
      <w:r>
        <w:rPr>
          <w:lang w:val="en-US"/>
        </w:rPr>
        <w:t xml:space="preserve"> able to take industrial action a ballot needs a 50% turn out (i.e. </w:t>
      </w:r>
      <w:r w:rsidR="00567C45">
        <w:rPr>
          <w:lang w:val="en-US"/>
        </w:rPr>
        <w:t>half of</w:t>
      </w:r>
      <w:r>
        <w:rPr>
          <w:lang w:val="en-US"/>
        </w:rPr>
        <w:t xml:space="preserve"> those eligible to vote</w:t>
      </w:r>
      <w:r w:rsidR="004073BC">
        <w:rPr>
          <w:lang w:val="en-US"/>
        </w:rPr>
        <w:t>,</w:t>
      </w:r>
      <w:r>
        <w:rPr>
          <w:lang w:val="en-US"/>
        </w:rPr>
        <w:t xml:space="preserve"> vote).  It also needs to be a vote in </w:t>
      </w:r>
      <w:proofErr w:type="spellStart"/>
      <w:r>
        <w:rPr>
          <w:lang w:val="en-US"/>
        </w:rPr>
        <w:t>favour</w:t>
      </w:r>
      <w:proofErr w:type="spellEnd"/>
      <w:r>
        <w:rPr>
          <w:lang w:val="en-US"/>
        </w:rPr>
        <w:t xml:space="preserve"> of action.  </w:t>
      </w:r>
      <w:r w:rsidR="00073C0E">
        <w:rPr>
          <w:lang w:val="en-US"/>
        </w:rPr>
        <w:t>A c</w:t>
      </w:r>
      <w:r>
        <w:rPr>
          <w:lang w:val="en-US"/>
        </w:rPr>
        <w:t xml:space="preserve">onsultative ballot allows us to </w:t>
      </w:r>
      <w:r w:rsidR="00F4037A">
        <w:rPr>
          <w:lang w:val="en-US"/>
        </w:rPr>
        <w:t xml:space="preserve">determine whether this is possible.  </w:t>
      </w:r>
    </w:p>
    <w:p w14:paraId="6E72D8B4" w14:textId="00C5F1F9" w:rsidR="007243A1" w:rsidRDefault="007243A1" w:rsidP="005F60B3">
      <w:pPr>
        <w:shd w:val="clear" w:color="auto" w:fill="FAE2D5" w:themeFill="accent2" w:themeFillTint="33"/>
        <w:rPr>
          <w:b/>
          <w:bCs/>
          <w:lang w:val="en-US"/>
        </w:rPr>
      </w:pPr>
      <w:r w:rsidRPr="001F30D1">
        <w:rPr>
          <w:b/>
          <w:bCs/>
          <w:lang w:val="en-US"/>
        </w:rPr>
        <w:t xml:space="preserve">Why am I being asked to check my details that </w:t>
      </w:r>
      <w:r w:rsidR="00A27CAA">
        <w:rPr>
          <w:b/>
          <w:bCs/>
          <w:lang w:val="en-US"/>
        </w:rPr>
        <w:t>U</w:t>
      </w:r>
      <w:r w:rsidRPr="001F30D1">
        <w:rPr>
          <w:b/>
          <w:bCs/>
          <w:lang w:val="en-US"/>
        </w:rPr>
        <w:t>nite holds about me?</w:t>
      </w:r>
    </w:p>
    <w:p w14:paraId="5A734587" w14:textId="66A2E64E" w:rsidR="00F4037A" w:rsidRPr="00F4037A" w:rsidRDefault="008542FB" w:rsidP="002D2E0C">
      <w:pPr>
        <w:rPr>
          <w:lang w:val="en-US"/>
        </w:rPr>
      </w:pPr>
      <w:r>
        <w:rPr>
          <w:lang w:val="en-US"/>
        </w:rPr>
        <w:t xml:space="preserve">This is not only good </w:t>
      </w:r>
      <w:r w:rsidR="005C349A">
        <w:rPr>
          <w:lang w:val="en-US"/>
        </w:rPr>
        <w:t>from an administrative point of view</w:t>
      </w:r>
      <w:r w:rsidR="00A65F9B">
        <w:rPr>
          <w:lang w:val="en-US"/>
        </w:rPr>
        <w:t>,</w:t>
      </w:r>
      <w:r>
        <w:rPr>
          <w:lang w:val="en-US"/>
        </w:rPr>
        <w:t xml:space="preserve"> but it is also important to allow us to plan for the next ballot</w:t>
      </w:r>
      <w:r w:rsidR="00C13910">
        <w:rPr>
          <w:lang w:val="en-US"/>
        </w:rPr>
        <w:t>,</w:t>
      </w:r>
      <w:r>
        <w:rPr>
          <w:lang w:val="en-US"/>
        </w:rPr>
        <w:t xml:space="preserve"> if we determine one is viab</w:t>
      </w:r>
      <w:r w:rsidR="00D30D55">
        <w:rPr>
          <w:lang w:val="en-US"/>
        </w:rPr>
        <w:t>le.</w:t>
      </w:r>
    </w:p>
    <w:p w14:paraId="4230076B" w14:textId="690A10B1" w:rsidR="007243A1" w:rsidRDefault="007243A1" w:rsidP="005F60B3">
      <w:pPr>
        <w:shd w:val="clear" w:color="auto" w:fill="FAE2D5" w:themeFill="accent2" w:themeFillTint="33"/>
        <w:rPr>
          <w:b/>
          <w:bCs/>
          <w:lang w:val="en-US"/>
        </w:rPr>
      </w:pPr>
      <w:r w:rsidRPr="001F30D1">
        <w:rPr>
          <w:b/>
          <w:bCs/>
          <w:lang w:val="en-US"/>
        </w:rPr>
        <w:t>Can new members vote?</w:t>
      </w:r>
    </w:p>
    <w:p w14:paraId="11FF11CA" w14:textId="29B8CB57" w:rsidR="00D30D55" w:rsidRPr="00D30D55" w:rsidRDefault="00D30D55" w:rsidP="002D2E0C">
      <w:pPr>
        <w:rPr>
          <w:lang w:val="en-US"/>
        </w:rPr>
      </w:pPr>
      <w:r>
        <w:rPr>
          <w:lang w:val="en-US"/>
        </w:rPr>
        <w:t>Yes – we encourage new members to join and vote.  There is no official cut</w:t>
      </w:r>
      <w:r w:rsidR="00567C45">
        <w:rPr>
          <w:lang w:val="en-US"/>
        </w:rPr>
        <w:t>-</w:t>
      </w:r>
      <w:r>
        <w:rPr>
          <w:lang w:val="en-US"/>
        </w:rPr>
        <w:t xml:space="preserve">off </w:t>
      </w:r>
      <w:r w:rsidR="001B5F9C">
        <w:rPr>
          <w:lang w:val="en-US"/>
        </w:rPr>
        <w:t>date,</w:t>
      </w:r>
      <w:r>
        <w:rPr>
          <w:lang w:val="en-US"/>
        </w:rPr>
        <w:t xml:space="preserve"> but we may struggle to </w:t>
      </w:r>
      <w:r w:rsidR="002F43B1">
        <w:rPr>
          <w:lang w:val="en-US"/>
        </w:rPr>
        <w:t>facilitate a ballot within the final week of the ballot.</w:t>
      </w:r>
    </w:p>
    <w:p w14:paraId="548CCE88" w14:textId="7431A965" w:rsidR="002D2E0C" w:rsidRDefault="002D2E0C" w:rsidP="005F60B3">
      <w:pPr>
        <w:shd w:val="clear" w:color="auto" w:fill="FAE2D5" w:themeFill="accent2" w:themeFillTint="33"/>
        <w:rPr>
          <w:b/>
          <w:bCs/>
          <w:lang w:val="en-US"/>
        </w:rPr>
      </w:pPr>
      <w:r w:rsidRPr="001F30D1">
        <w:rPr>
          <w:b/>
          <w:bCs/>
          <w:lang w:val="en-US"/>
        </w:rPr>
        <w:t>When does the consultative ballot start and finish?</w:t>
      </w:r>
    </w:p>
    <w:p w14:paraId="5BF081D1" w14:textId="77777777" w:rsidR="00712CE0" w:rsidRPr="00B650E3" w:rsidRDefault="00712CE0" w:rsidP="00712CE0">
      <w:pPr>
        <w:rPr>
          <w:lang w:val="en-US"/>
        </w:rPr>
      </w:pPr>
      <w:r>
        <w:rPr>
          <w:lang w:val="en-US"/>
        </w:rPr>
        <w:t>The consultative ballot opened on 16</w:t>
      </w:r>
      <w:r w:rsidRPr="00712CE0">
        <w:rPr>
          <w:vertAlign w:val="superscript"/>
          <w:lang w:val="en-US"/>
        </w:rPr>
        <w:t>th</w:t>
      </w:r>
      <w:r>
        <w:rPr>
          <w:lang w:val="en-US"/>
        </w:rPr>
        <w:t xml:space="preserve"> June and closes at noon on 16</w:t>
      </w:r>
      <w:r w:rsidRPr="00712CE0">
        <w:rPr>
          <w:vertAlign w:val="superscript"/>
          <w:lang w:val="en-US"/>
        </w:rPr>
        <w:t>th</w:t>
      </w:r>
      <w:r>
        <w:rPr>
          <w:lang w:val="en-US"/>
        </w:rPr>
        <w:t xml:space="preserve"> July (2025).</w:t>
      </w:r>
    </w:p>
    <w:p w14:paraId="5988822E" w14:textId="77777777" w:rsidR="002D2E0C" w:rsidRDefault="002D2E0C" w:rsidP="005F60B3">
      <w:pPr>
        <w:shd w:val="clear" w:color="auto" w:fill="FAE2D5" w:themeFill="accent2" w:themeFillTint="33"/>
        <w:rPr>
          <w:b/>
          <w:bCs/>
          <w:lang w:val="en-US"/>
        </w:rPr>
      </w:pPr>
      <w:r w:rsidRPr="001F30D1">
        <w:rPr>
          <w:b/>
          <w:bCs/>
          <w:lang w:val="en-US"/>
        </w:rPr>
        <w:t>Does the pay award depend on how Unite members vote?</w:t>
      </w:r>
    </w:p>
    <w:p w14:paraId="08B82136" w14:textId="6B6AF7EB" w:rsidR="00712CE0" w:rsidRPr="00712CE0" w:rsidRDefault="00712CE0" w:rsidP="002D2E0C">
      <w:pPr>
        <w:rPr>
          <w:lang w:val="en-US"/>
        </w:rPr>
      </w:pPr>
      <w:r>
        <w:rPr>
          <w:lang w:val="en-US"/>
        </w:rPr>
        <w:t xml:space="preserve">No, unlike in other </w:t>
      </w:r>
      <w:r w:rsidR="00567C45">
        <w:rPr>
          <w:lang w:val="en-US"/>
        </w:rPr>
        <w:t>employers,</w:t>
      </w:r>
      <w:r>
        <w:rPr>
          <w:lang w:val="en-US"/>
        </w:rPr>
        <w:t xml:space="preserve"> the NHS does not hold pay negotiations with trade unions and instead asks a pay review body to determine what the wage increase should be.  </w:t>
      </w:r>
      <w:r w:rsidR="00F24827">
        <w:rPr>
          <w:lang w:val="en-US"/>
        </w:rPr>
        <w:t xml:space="preserve">Unite are opposed to this process and have called for direct pay negotiations </w:t>
      </w:r>
      <w:r w:rsidR="00BF32F1">
        <w:rPr>
          <w:lang w:val="en-US"/>
        </w:rPr>
        <w:t>for the past three years.</w:t>
      </w:r>
    </w:p>
    <w:p w14:paraId="4B4E488E" w14:textId="45ADBCF5" w:rsidR="00F7261F" w:rsidRDefault="00F7261F" w:rsidP="005F60B3">
      <w:pPr>
        <w:shd w:val="clear" w:color="auto" w:fill="FAE2D5" w:themeFill="accent2" w:themeFillTint="33"/>
        <w:rPr>
          <w:b/>
          <w:bCs/>
          <w:lang w:val="en-US"/>
        </w:rPr>
      </w:pPr>
      <w:r>
        <w:rPr>
          <w:b/>
          <w:bCs/>
          <w:lang w:val="en-US"/>
        </w:rPr>
        <w:t xml:space="preserve">Why </w:t>
      </w:r>
      <w:r w:rsidR="006C1B43">
        <w:rPr>
          <w:b/>
          <w:bCs/>
          <w:lang w:val="en-US"/>
        </w:rPr>
        <w:t>am I being asked about strike action?</w:t>
      </w:r>
    </w:p>
    <w:p w14:paraId="767690F1" w14:textId="01B5E0BF" w:rsidR="00BF32F1" w:rsidRPr="00BF32F1" w:rsidRDefault="00BF32F1" w:rsidP="002D2E0C">
      <w:pPr>
        <w:rPr>
          <w:lang w:val="en-US"/>
        </w:rPr>
      </w:pPr>
      <w:r>
        <w:rPr>
          <w:lang w:val="en-US"/>
        </w:rPr>
        <w:t>We hope that strikes won’t be required but it is one of the best forms of leverage that workers have.  We have seen this in recent years (</w:t>
      </w:r>
      <w:r w:rsidR="00430CE2">
        <w:rPr>
          <w:lang w:val="en-US"/>
        </w:rPr>
        <w:t>U</w:t>
      </w:r>
      <w:r>
        <w:rPr>
          <w:lang w:val="en-US"/>
        </w:rPr>
        <w:t xml:space="preserve">nite’s ambulance strikes in 2022 / 23, other NHS </w:t>
      </w:r>
      <w:r w:rsidR="00567C45">
        <w:rPr>
          <w:lang w:val="en-US"/>
        </w:rPr>
        <w:t>strikes</w:t>
      </w:r>
      <w:r w:rsidR="001D0BBC">
        <w:rPr>
          <w:lang w:val="en-US"/>
        </w:rPr>
        <w:t xml:space="preserve"> since 2022</w:t>
      </w:r>
      <w:r w:rsidR="00567C45">
        <w:rPr>
          <w:lang w:val="en-US"/>
        </w:rPr>
        <w:t>,</w:t>
      </w:r>
      <w:r>
        <w:rPr>
          <w:lang w:val="en-US"/>
        </w:rPr>
        <w:t xml:space="preserve"> and the BMA’s junior doctors’ strikes </w:t>
      </w:r>
      <w:r w:rsidR="00046942">
        <w:rPr>
          <w:lang w:val="en-US"/>
        </w:rPr>
        <w:t xml:space="preserve">in 2023 /24).  </w:t>
      </w:r>
      <w:proofErr w:type="gramStart"/>
      <w:r w:rsidR="00046942">
        <w:rPr>
          <w:lang w:val="en-US"/>
        </w:rPr>
        <w:t>All of</w:t>
      </w:r>
      <w:proofErr w:type="gramEnd"/>
      <w:r w:rsidR="00046942">
        <w:rPr>
          <w:lang w:val="en-US"/>
        </w:rPr>
        <w:t xml:space="preserve"> these actions moved the government to offer improvements.</w:t>
      </w:r>
    </w:p>
    <w:p w14:paraId="0A730B28" w14:textId="4627E3F4" w:rsidR="00063557" w:rsidRDefault="00063557" w:rsidP="005F60B3">
      <w:pPr>
        <w:shd w:val="clear" w:color="auto" w:fill="FAE2D5" w:themeFill="accent2" w:themeFillTint="33"/>
        <w:rPr>
          <w:b/>
          <w:bCs/>
          <w:lang w:val="en-US"/>
        </w:rPr>
      </w:pPr>
      <w:r w:rsidRPr="001F30D1">
        <w:rPr>
          <w:b/>
          <w:bCs/>
          <w:lang w:val="en-US"/>
        </w:rPr>
        <w:t xml:space="preserve">Can I strike if the consultative ballot is in </w:t>
      </w:r>
      <w:proofErr w:type="spellStart"/>
      <w:r w:rsidRPr="001F30D1">
        <w:rPr>
          <w:b/>
          <w:bCs/>
          <w:lang w:val="en-US"/>
        </w:rPr>
        <w:t>favour</w:t>
      </w:r>
      <w:proofErr w:type="spellEnd"/>
      <w:r w:rsidRPr="001F30D1">
        <w:rPr>
          <w:b/>
          <w:bCs/>
          <w:lang w:val="en-US"/>
        </w:rPr>
        <w:t xml:space="preserve"> of action?</w:t>
      </w:r>
    </w:p>
    <w:p w14:paraId="3BC08D1E" w14:textId="397BA1EE" w:rsidR="00046942" w:rsidRPr="00046942" w:rsidRDefault="00046942">
      <w:pPr>
        <w:rPr>
          <w:lang w:val="en-US"/>
        </w:rPr>
      </w:pPr>
      <w:r>
        <w:rPr>
          <w:lang w:val="en-US"/>
        </w:rPr>
        <w:t>No, we are required by law to run a second formal</w:t>
      </w:r>
      <w:r w:rsidR="006F63E2">
        <w:rPr>
          <w:lang w:val="en-US"/>
        </w:rPr>
        <w:t xml:space="preserve"> </w:t>
      </w:r>
      <w:r>
        <w:rPr>
          <w:lang w:val="en-US"/>
        </w:rPr>
        <w:t>industrial action ballot</w:t>
      </w:r>
      <w:r w:rsidR="006F63E2">
        <w:rPr>
          <w:lang w:val="en-US"/>
        </w:rPr>
        <w:t>,</w:t>
      </w:r>
      <w:r>
        <w:rPr>
          <w:lang w:val="en-US"/>
        </w:rPr>
        <w:t xml:space="preserve"> which </w:t>
      </w:r>
      <w:proofErr w:type="gramStart"/>
      <w:r>
        <w:rPr>
          <w:lang w:val="en-US"/>
        </w:rPr>
        <w:t>has to</w:t>
      </w:r>
      <w:proofErr w:type="gramEnd"/>
      <w:r>
        <w:rPr>
          <w:lang w:val="en-US"/>
        </w:rPr>
        <w:t xml:space="preserve"> be postal and carried out by an independent third party</w:t>
      </w:r>
      <w:r w:rsidR="00007985">
        <w:rPr>
          <w:lang w:val="en-US"/>
        </w:rPr>
        <w:t xml:space="preserve">.  We will </w:t>
      </w:r>
      <w:r w:rsidR="00970443">
        <w:rPr>
          <w:lang w:val="en-US"/>
        </w:rPr>
        <w:t>e</w:t>
      </w:r>
      <w:r w:rsidR="00007985">
        <w:rPr>
          <w:lang w:val="en-US"/>
        </w:rPr>
        <w:t>xplain more about this when we have an idea on the appetite for action.</w:t>
      </w:r>
    </w:p>
    <w:p w14:paraId="076B9F16" w14:textId="10DD60E4" w:rsidR="00063557" w:rsidRDefault="00063557" w:rsidP="005F60B3">
      <w:pPr>
        <w:shd w:val="clear" w:color="auto" w:fill="FAE2D5" w:themeFill="accent2" w:themeFillTint="33"/>
        <w:rPr>
          <w:b/>
          <w:bCs/>
          <w:lang w:val="en-US"/>
        </w:rPr>
      </w:pPr>
      <w:r w:rsidRPr="001F30D1">
        <w:rPr>
          <w:b/>
          <w:bCs/>
          <w:lang w:val="en-US"/>
        </w:rPr>
        <w:t>What am I being asked about cuts as well?</w:t>
      </w:r>
    </w:p>
    <w:p w14:paraId="345F0DD1" w14:textId="201CCB37" w:rsidR="00007985" w:rsidRPr="00007985" w:rsidRDefault="00007985">
      <w:pPr>
        <w:rPr>
          <w:lang w:val="en-US"/>
        </w:rPr>
      </w:pPr>
      <w:r>
        <w:rPr>
          <w:lang w:val="en-US"/>
        </w:rPr>
        <w:t xml:space="preserve">Cuts are </w:t>
      </w:r>
      <w:r w:rsidR="006F63E2">
        <w:rPr>
          <w:lang w:val="en-US"/>
        </w:rPr>
        <w:t>impacting on</w:t>
      </w:r>
      <w:r>
        <w:rPr>
          <w:lang w:val="en-US"/>
        </w:rPr>
        <w:t xml:space="preserve"> thousands of our members and </w:t>
      </w:r>
      <w:r w:rsidR="00CD01C5">
        <w:rPr>
          <w:lang w:val="en-US"/>
        </w:rPr>
        <w:t xml:space="preserve">cuts and unacceptable pay rises are completely linked to the main issue which is NHS funding.  </w:t>
      </w:r>
      <w:r w:rsidR="00386103">
        <w:rPr>
          <w:lang w:val="en-US"/>
        </w:rPr>
        <w:t xml:space="preserve">Government </w:t>
      </w:r>
      <w:r w:rsidR="006F63E2">
        <w:rPr>
          <w:lang w:val="en-US"/>
        </w:rPr>
        <w:t>appears</w:t>
      </w:r>
      <w:r w:rsidR="00386103">
        <w:rPr>
          <w:lang w:val="en-US"/>
        </w:rPr>
        <w:t xml:space="preserve"> to be presenting pay and cuts as a </w:t>
      </w:r>
      <w:proofErr w:type="spellStart"/>
      <w:r w:rsidR="00386103">
        <w:rPr>
          <w:lang w:val="en-US"/>
        </w:rPr>
        <w:t>trade off</w:t>
      </w:r>
      <w:proofErr w:type="spellEnd"/>
      <w:r w:rsidR="00386103">
        <w:rPr>
          <w:lang w:val="en-US"/>
        </w:rPr>
        <w:t xml:space="preserve"> but Unite believes that a far more progressive solution is available.  Lack of investment is damaging the </w:t>
      </w:r>
      <w:r w:rsidR="006F63E2">
        <w:rPr>
          <w:lang w:val="en-US"/>
        </w:rPr>
        <w:t>NHS</w:t>
      </w:r>
      <w:r w:rsidR="005C349A">
        <w:rPr>
          <w:lang w:val="en-US"/>
        </w:rPr>
        <w:t>,</w:t>
      </w:r>
      <w:r w:rsidR="006F63E2">
        <w:rPr>
          <w:lang w:val="en-US"/>
        </w:rPr>
        <w:t xml:space="preserve"> and</w:t>
      </w:r>
      <w:r w:rsidR="006B245C">
        <w:rPr>
          <w:lang w:val="en-US"/>
        </w:rPr>
        <w:t xml:space="preserve"> we cannot accept that staff </w:t>
      </w:r>
      <w:proofErr w:type="gramStart"/>
      <w:r w:rsidR="006B245C">
        <w:rPr>
          <w:lang w:val="en-US"/>
        </w:rPr>
        <w:t>have to</w:t>
      </w:r>
      <w:proofErr w:type="gramEnd"/>
      <w:r w:rsidR="006B245C">
        <w:rPr>
          <w:lang w:val="en-US"/>
        </w:rPr>
        <w:t xml:space="preserve"> lose jobs </w:t>
      </w:r>
      <w:r w:rsidR="006C297E">
        <w:rPr>
          <w:lang w:val="en-US"/>
        </w:rPr>
        <w:t xml:space="preserve">and </w:t>
      </w:r>
      <w:r w:rsidR="006B245C">
        <w:rPr>
          <w:lang w:val="en-US"/>
        </w:rPr>
        <w:t xml:space="preserve">patients </w:t>
      </w:r>
      <w:proofErr w:type="gramStart"/>
      <w:r w:rsidR="006B245C">
        <w:rPr>
          <w:lang w:val="en-US"/>
        </w:rPr>
        <w:t>have to</w:t>
      </w:r>
      <w:proofErr w:type="gramEnd"/>
      <w:r w:rsidR="006B245C">
        <w:rPr>
          <w:lang w:val="en-US"/>
        </w:rPr>
        <w:t xml:space="preserve"> lose services </w:t>
      </w:r>
      <w:proofErr w:type="gramStart"/>
      <w:r w:rsidR="006B245C">
        <w:rPr>
          <w:lang w:val="en-US"/>
        </w:rPr>
        <w:t>in order to</w:t>
      </w:r>
      <w:proofErr w:type="gramEnd"/>
      <w:r w:rsidR="006B245C">
        <w:rPr>
          <w:lang w:val="en-US"/>
        </w:rPr>
        <w:t xml:space="preserve"> pay for the remaining staff to have a cost of living pay increase.  </w:t>
      </w:r>
      <w:r w:rsidR="00970443">
        <w:rPr>
          <w:lang w:val="en-US"/>
        </w:rPr>
        <w:t xml:space="preserve">A wealth tax on the </w:t>
      </w:r>
      <w:r w:rsidR="006F63E2">
        <w:rPr>
          <w:lang w:val="en-US"/>
        </w:rPr>
        <w:t>super-rich</w:t>
      </w:r>
      <w:r w:rsidR="00970443">
        <w:rPr>
          <w:lang w:val="en-US"/>
        </w:rPr>
        <w:t xml:space="preserve"> would overnight raise enough money to give a far better pay increase to staff and avert the need for savage cuts.</w:t>
      </w:r>
    </w:p>
    <w:p w14:paraId="36CB1C73" w14:textId="1E611393" w:rsidR="00063557" w:rsidRDefault="00F40465" w:rsidP="005F60B3">
      <w:pPr>
        <w:shd w:val="clear" w:color="auto" w:fill="FAE2D5" w:themeFill="accent2" w:themeFillTint="33"/>
        <w:rPr>
          <w:b/>
          <w:bCs/>
          <w:lang w:val="en-US"/>
        </w:rPr>
      </w:pPr>
      <w:r w:rsidRPr="001F30D1">
        <w:rPr>
          <w:b/>
          <w:bCs/>
          <w:lang w:val="en-US"/>
        </w:rPr>
        <w:lastRenderedPageBreak/>
        <w:t>Are NHS staff allowed to strike?</w:t>
      </w:r>
    </w:p>
    <w:p w14:paraId="21F55E94" w14:textId="4DB84715" w:rsidR="00970443" w:rsidRPr="00032A09" w:rsidRDefault="00970443">
      <w:pPr>
        <w:rPr>
          <w:lang w:val="en-US"/>
        </w:rPr>
      </w:pPr>
      <w:r w:rsidRPr="00032A09">
        <w:rPr>
          <w:lang w:val="en-US"/>
        </w:rPr>
        <w:t>Absolutely</w:t>
      </w:r>
      <w:r w:rsidR="00E4102D">
        <w:rPr>
          <w:lang w:val="en-US"/>
        </w:rPr>
        <w:t>,</w:t>
      </w:r>
      <w:r w:rsidRPr="00032A09">
        <w:rPr>
          <w:lang w:val="en-US"/>
        </w:rPr>
        <w:t xml:space="preserve"> and as stated above </w:t>
      </w:r>
      <w:r w:rsidR="001B5F9C">
        <w:rPr>
          <w:lang w:val="en-US"/>
        </w:rPr>
        <w:t>NHS staff, just like you,</w:t>
      </w:r>
      <w:r w:rsidR="001B5F9C" w:rsidRPr="00032A09">
        <w:rPr>
          <w:lang w:val="en-US"/>
        </w:rPr>
        <w:t xml:space="preserve"> </w:t>
      </w:r>
      <w:r w:rsidRPr="00032A09">
        <w:rPr>
          <w:lang w:val="en-US"/>
        </w:rPr>
        <w:t xml:space="preserve">have </w:t>
      </w:r>
      <w:proofErr w:type="gramStart"/>
      <w:r w:rsidR="00032A09" w:rsidRPr="00032A09">
        <w:rPr>
          <w:lang w:val="en-US"/>
        </w:rPr>
        <w:t>won</w:t>
      </w:r>
      <w:proofErr w:type="gramEnd"/>
      <w:r w:rsidR="00032A09" w:rsidRPr="00032A09">
        <w:rPr>
          <w:lang w:val="en-US"/>
        </w:rPr>
        <w:t xml:space="preserve"> gains </w:t>
      </w:r>
      <w:proofErr w:type="gramStart"/>
      <w:r w:rsidR="00032A09" w:rsidRPr="00032A09">
        <w:rPr>
          <w:lang w:val="en-US"/>
        </w:rPr>
        <w:t>as a result of</w:t>
      </w:r>
      <w:proofErr w:type="gramEnd"/>
      <w:r w:rsidR="00032A09" w:rsidRPr="00032A09">
        <w:rPr>
          <w:lang w:val="en-US"/>
        </w:rPr>
        <w:t xml:space="preserve"> </w:t>
      </w:r>
      <w:r w:rsidR="001B5F9C">
        <w:rPr>
          <w:lang w:val="en-US"/>
        </w:rPr>
        <w:t xml:space="preserve">taking strike </w:t>
      </w:r>
      <w:r w:rsidR="00032A09" w:rsidRPr="00032A09">
        <w:rPr>
          <w:lang w:val="en-US"/>
        </w:rPr>
        <w:t xml:space="preserve">action in the past few years.  Unite will always agree exceptions to strikes, known as derogations, </w:t>
      </w:r>
      <w:proofErr w:type="gramStart"/>
      <w:r w:rsidR="00032A09" w:rsidRPr="00032A09">
        <w:rPr>
          <w:lang w:val="en-US"/>
        </w:rPr>
        <w:t>in order to</w:t>
      </w:r>
      <w:proofErr w:type="gramEnd"/>
      <w:r w:rsidR="00032A09" w:rsidRPr="00032A09">
        <w:rPr>
          <w:lang w:val="en-US"/>
        </w:rPr>
        <w:t xml:space="preserve"> avoid harm to patients.  Our action, if required, has the aim of disruption not harm.</w:t>
      </w:r>
    </w:p>
    <w:p w14:paraId="621C3919" w14:textId="197DCDB0" w:rsidR="006C1B43" w:rsidRDefault="006C1B43" w:rsidP="005F60B3">
      <w:pPr>
        <w:shd w:val="clear" w:color="auto" w:fill="FAE2D5" w:themeFill="accent2" w:themeFillTint="33"/>
        <w:rPr>
          <w:b/>
          <w:bCs/>
          <w:lang w:val="en-US"/>
        </w:rPr>
      </w:pPr>
      <w:r>
        <w:rPr>
          <w:b/>
          <w:bCs/>
          <w:lang w:val="en-US"/>
        </w:rPr>
        <w:t>Will cuts affect services?</w:t>
      </w:r>
    </w:p>
    <w:p w14:paraId="3344BC69" w14:textId="3CA4583F" w:rsidR="00E10E23" w:rsidRDefault="00E10E23">
      <w:pPr>
        <w:rPr>
          <w:lang w:val="en-US"/>
        </w:rPr>
      </w:pPr>
      <w:r>
        <w:rPr>
          <w:lang w:val="en-US"/>
        </w:rPr>
        <w:t xml:space="preserve">Yes, massively. </w:t>
      </w:r>
    </w:p>
    <w:p w14:paraId="08F36103" w14:textId="1B12AA08" w:rsidR="0042039D" w:rsidRDefault="0042039D">
      <w:pPr>
        <w:rPr>
          <w:lang w:val="en-US"/>
        </w:rPr>
      </w:pPr>
      <w:r>
        <w:rPr>
          <w:lang w:val="en-US"/>
        </w:rPr>
        <w:t>NHS providers reported the following from a recent survey:</w:t>
      </w:r>
    </w:p>
    <w:p w14:paraId="7E3AF2DA" w14:textId="77777777" w:rsidR="0042039D" w:rsidRPr="0042039D" w:rsidRDefault="0042039D" w:rsidP="0042039D">
      <w:pPr>
        <w:rPr>
          <w:i/>
          <w:iCs/>
        </w:rPr>
      </w:pPr>
      <w:r w:rsidRPr="0042039D">
        <w:rPr>
          <w:i/>
          <w:iCs/>
        </w:rPr>
        <w:t>With the 10-year health plan due to be published in the coming months, nearly half of trust leaders (47%) surveyed warned they are scaling back services to deliver tough financial plans, with a further 43% considering this option. Virtual wards, rehabilitation centres, talking therapies and diabetes services for young people are amongst services identified at risk, demonstrating the extremely tough choices being faced by NHS leaders.</w:t>
      </w:r>
    </w:p>
    <w:p w14:paraId="36839C84" w14:textId="77777777" w:rsidR="0042039D" w:rsidRPr="0042039D" w:rsidRDefault="0042039D" w:rsidP="0042039D">
      <w:pPr>
        <w:rPr>
          <w:i/>
          <w:iCs/>
        </w:rPr>
      </w:pPr>
      <w:r w:rsidRPr="0042039D">
        <w:rPr>
          <w:i/>
          <w:iCs/>
        </w:rPr>
        <w:t>Worryingly, over a third (37%) said their organisation is cutting clinical posts as they try to balance their books, with a further 40% considering this. With trusts told to halve corporate cost growth, 86% of trust leaders said their organisation is going to have to cut posts in non-clinical teams - such as HR, finance, estates, digital and communications – potentially risking efforts to deliver services, innovate, and improve productivity.</w:t>
      </w:r>
    </w:p>
    <w:p w14:paraId="72184F96" w14:textId="77777777" w:rsidR="0042039D" w:rsidRPr="0042039D" w:rsidRDefault="0042039D" w:rsidP="0042039D">
      <w:pPr>
        <w:rPr>
          <w:i/>
          <w:iCs/>
        </w:rPr>
      </w:pPr>
      <w:r w:rsidRPr="0042039D">
        <w:rPr>
          <w:i/>
          <w:iCs/>
        </w:rPr>
        <w:t>The scale of job cuts is becoming clear with a number of trusts aiming to take out 500 posts or more and one organisation planning to cut around 1000 jobs.</w:t>
      </w:r>
    </w:p>
    <w:p w14:paraId="633E122E" w14:textId="7208CB43" w:rsidR="0042039D" w:rsidRDefault="0042039D">
      <w:pPr>
        <w:rPr>
          <w:lang w:val="en-US"/>
        </w:rPr>
      </w:pPr>
      <w:hyperlink r:id="rId8" w:history="1">
        <w:r w:rsidRPr="00255514">
          <w:rPr>
            <w:rStyle w:val="Hyperlink"/>
            <w:lang w:val="en-US"/>
          </w:rPr>
          <w:t>https://nhsproviders.org/news/jobs-and-services-on-the-line-as-nhs-budget-squeeze-bites</w:t>
        </w:r>
      </w:hyperlink>
    </w:p>
    <w:p w14:paraId="33FF3BDF" w14:textId="71BE75EC" w:rsidR="00407C83" w:rsidRDefault="0042039D">
      <w:pPr>
        <w:rPr>
          <w:lang w:val="en-US"/>
        </w:rPr>
      </w:pPr>
      <w:r>
        <w:rPr>
          <w:lang w:val="en-US"/>
        </w:rPr>
        <w:t xml:space="preserve">Unite members are also very concerned that casting </w:t>
      </w:r>
      <w:r w:rsidR="001B5F9C">
        <w:rPr>
          <w:lang w:val="en-US"/>
        </w:rPr>
        <w:t>non</w:t>
      </w:r>
      <w:r w:rsidR="00A27CAA">
        <w:rPr>
          <w:lang w:val="en-US"/>
        </w:rPr>
        <w:t>-</w:t>
      </w:r>
      <w:r w:rsidR="001B5F9C">
        <w:rPr>
          <w:lang w:val="en-US"/>
        </w:rPr>
        <w:t>clinical</w:t>
      </w:r>
      <w:r w:rsidR="00505779">
        <w:rPr>
          <w:lang w:val="en-US"/>
        </w:rPr>
        <w:t xml:space="preserve"> staff as “</w:t>
      </w:r>
      <w:r w:rsidR="00430CE2">
        <w:rPr>
          <w:lang w:val="en-US"/>
        </w:rPr>
        <w:t>expendable</w:t>
      </w:r>
      <w:r w:rsidR="00505779">
        <w:rPr>
          <w:lang w:val="en-US"/>
        </w:rPr>
        <w:t xml:space="preserve"> bureaucrats” misses the point and the value of what no</w:t>
      </w:r>
      <w:r w:rsidR="00407C83">
        <w:rPr>
          <w:lang w:val="en-US"/>
        </w:rPr>
        <w:t>n-</w:t>
      </w:r>
      <w:r w:rsidR="00505779">
        <w:rPr>
          <w:lang w:val="en-US"/>
        </w:rPr>
        <w:t xml:space="preserve">clinical staff do.  The NHS is a </w:t>
      </w:r>
      <w:r w:rsidR="001B5F9C">
        <w:rPr>
          <w:lang w:val="en-US"/>
        </w:rPr>
        <w:t>team,</w:t>
      </w:r>
      <w:r w:rsidR="00505779">
        <w:rPr>
          <w:lang w:val="en-US"/>
        </w:rPr>
        <w:t xml:space="preserve"> and everyone has their role to play.  If one person is removed that will have a </w:t>
      </w:r>
      <w:r w:rsidR="001B5F9C">
        <w:rPr>
          <w:lang w:val="en-US"/>
        </w:rPr>
        <w:t>knock-on</w:t>
      </w:r>
      <w:r w:rsidR="00505779">
        <w:rPr>
          <w:lang w:val="en-US"/>
        </w:rPr>
        <w:t xml:space="preserve"> </w:t>
      </w:r>
      <w:r w:rsidR="001B5F9C">
        <w:rPr>
          <w:lang w:val="en-US"/>
        </w:rPr>
        <w:t>effect</w:t>
      </w:r>
      <w:r w:rsidR="00505779">
        <w:rPr>
          <w:lang w:val="en-US"/>
        </w:rPr>
        <w:t xml:space="preserve"> </w:t>
      </w:r>
      <w:proofErr w:type="gramStart"/>
      <w:r w:rsidR="00505779">
        <w:rPr>
          <w:lang w:val="en-US"/>
        </w:rPr>
        <w:t>to</w:t>
      </w:r>
      <w:proofErr w:type="gramEnd"/>
      <w:r w:rsidR="00505779">
        <w:rPr>
          <w:lang w:val="en-US"/>
        </w:rPr>
        <w:t xml:space="preserve"> the workload of other</w:t>
      </w:r>
      <w:r w:rsidR="00407C83">
        <w:rPr>
          <w:lang w:val="en-US"/>
        </w:rPr>
        <w:t>s</w:t>
      </w:r>
      <w:r w:rsidR="00505779">
        <w:rPr>
          <w:lang w:val="en-US"/>
        </w:rPr>
        <w:t xml:space="preserve"> which will ultimately impact on patients.</w:t>
      </w:r>
    </w:p>
    <w:p w14:paraId="71E3AAF1" w14:textId="77777777" w:rsidR="00407C83" w:rsidRDefault="00407C83">
      <w:pPr>
        <w:rPr>
          <w:lang w:val="en-US"/>
        </w:rPr>
      </w:pPr>
    </w:p>
    <w:p w14:paraId="6217D6C0" w14:textId="640EA7E7" w:rsidR="0042039D" w:rsidRDefault="00407C83">
      <w:pPr>
        <w:rPr>
          <w:lang w:val="en-US"/>
        </w:rPr>
      </w:pPr>
      <w:r>
        <w:rPr>
          <w:b/>
          <w:bCs/>
          <w:lang w:val="en-US"/>
        </w:rPr>
        <w:t>This document will be update</w:t>
      </w:r>
      <w:r w:rsidR="00323AF1">
        <w:rPr>
          <w:b/>
          <w:bCs/>
          <w:lang w:val="en-US"/>
        </w:rPr>
        <w:t>d</w:t>
      </w:r>
      <w:r>
        <w:rPr>
          <w:b/>
          <w:bCs/>
          <w:lang w:val="en-US"/>
        </w:rPr>
        <w:t xml:space="preserve"> as and when </w:t>
      </w:r>
      <w:r w:rsidR="00CC7D2A">
        <w:rPr>
          <w:b/>
          <w:bCs/>
          <w:lang w:val="en-US"/>
        </w:rPr>
        <w:t>further frequently asked questions arise</w:t>
      </w:r>
    </w:p>
    <w:sectPr w:rsidR="00420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57"/>
    <w:rsid w:val="00007985"/>
    <w:rsid w:val="000310EA"/>
    <w:rsid w:val="00032A09"/>
    <w:rsid w:val="00046942"/>
    <w:rsid w:val="00055410"/>
    <w:rsid w:val="00063557"/>
    <w:rsid w:val="00073C0E"/>
    <w:rsid w:val="000E3400"/>
    <w:rsid w:val="00104CE3"/>
    <w:rsid w:val="001A281B"/>
    <w:rsid w:val="001B5F9C"/>
    <w:rsid w:val="001D0BBC"/>
    <w:rsid w:val="001F30D1"/>
    <w:rsid w:val="002128FA"/>
    <w:rsid w:val="002733BB"/>
    <w:rsid w:val="002D2E0C"/>
    <w:rsid w:val="002F43B1"/>
    <w:rsid w:val="00323AF1"/>
    <w:rsid w:val="00386103"/>
    <w:rsid w:val="003B5354"/>
    <w:rsid w:val="004056D0"/>
    <w:rsid w:val="004073BC"/>
    <w:rsid w:val="00407C83"/>
    <w:rsid w:val="0042039D"/>
    <w:rsid w:val="00430CE2"/>
    <w:rsid w:val="004D2007"/>
    <w:rsid w:val="004D754C"/>
    <w:rsid w:val="004F3804"/>
    <w:rsid w:val="00505779"/>
    <w:rsid w:val="00567C45"/>
    <w:rsid w:val="005C349A"/>
    <w:rsid w:val="005F60B3"/>
    <w:rsid w:val="006B233C"/>
    <w:rsid w:val="006B245C"/>
    <w:rsid w:val="006C1B43"/>
    <w:rsid w:val="006C297E"/>
    <w:rsid w:val="006F16E4"/>
    <w:rsid w:val="006F63E2"/>
    <w:rsid w:val="00712CE0"/>
    <w:rsid w:val="00712E17"/>
    <w:rsid w:val="007243A1"/>
    <w:rsid w:val="00727CB5"/>
    <w:rsid w:val="007371E8"/>
    <w:rsid w:val="00813417"/>
    <w:rsid w:val="008542FB"/>
    <w:rsid w:val="00874255"/>
    <w:rsid w:val="008B0C56"/>
    <w:rsid w:val="008D000B"/>
    <w:rsid w:val="00910DD3"/>
    <w:rsid w:val="009322A1"/>
    <w:rsid w:val="00970443"/>
    <w:rsid w:val="009B3228"/>
    <w:rsid w:val="00A27CAA"/>
    <w:rsid w:val="00A65F9B"/>
    <w:rsid w:val="00A830AF"/>
    <w:rsid w:val="00AA3208"/>
    <w:rsid w:val="00AA7643"/>
    <w:rsid w:val="00B166ED"/>
    <w:rsid w:val="00B650E3"/>
    <w:rsid w:val="00BC358C"/>
    <w:rsid w:val="00BF32F1"/>
    <w:rsid w:val="00C13910"/>
    <w:rsid w:val="00C3696D"/>
    <w:rsid w:val="00C92B21"/>
    <w:rsid w:val="00CC7D2A"/>
    <w:rsid w:val="00CD01C5"/>
    <w:rsid w:val="00CE2598"/>
    <w:rsid w:val="00CF0B14"/>
    <w:rsid w:val="00D03A3F"/>
    <w:rsid w:val="00D30D55"/>
    <w:rsid w:val="00D76BDC"/>
    <w:rsid w:val="00D80B8B"/>
    <w:rsid w:val="00D839C8"/>
    <w:rsid w:val="00DA0297"/>
    <w:rsid w:val="00E10E23"/>
    <w:rsid w:val="00E353EE"/>
    <w:rsid w:val="00E4102D"/>
    <w:rsid w:val="00E64685"/>
    <w:rsid w:val="00E83477"/>
    <w:rsid w:val="00EA680F"/>
    <w:rsid w:val="00EB4518"/>
    <w:rsid w:val="00F0661A"/>
    <w:rsid w:val="00F24827"/>
    <w:rsid w:val="00F37D30"/>
    <w:rsid w:val="00F4037A"/>
    <w:rsid w:val="00F40465"/>
    <w:rsid w:val="00F7261F"/>
    <w:rsid w:val="00F735E9"/>
    <w:rsid w:val="00FB4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268C"/>
  <w15:chartTrackingRefBased/>
  <w15:docId w15:val="{C0AD3050-B294-4063-BC7D-AEE6BB2A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557"/>
    <w:rPr>
      <w:rFonts w:eastAsiaTheme="majorEastAsia" w:cstheme="majorBidi"/>
      <w:color w:val="272727" w:themeColor="text1" w:themeTint="D8"/>
    </w:rPr>
  </w:style>
  <w:style w:type="paragraph" w:styleId="Title">
    <w:name w:val="Title"/>
    <w:basedOn w:val="Normal"/>
    <w:next w:val="Normal"/>
    <w:link w:val="TitleChar"/>
    <w:uiPriority w:val="10"/>
    <w:qFormat/>
    <w:rsid w:val="00063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557"/>
    <w:pPr>
      <w:spacing w:before="160"/>
      <w:jc w:val="center"/>
    </w:pPr>
    <w:rPr>
      <w:i/>
      <w:iCs/>
      <w:color w:val="404040" w:themeColor="text1" w:themeTint="BF"/>
    </w:rPr>
  </w:style>
  <w:style w:type="character" w:customStyle="1" w:styleId="QuoteChar">
    <w:name w:val="Quote Char"/>
    <w:basedOn w:val="DefaultParagraphFont"/>
    <w:link w:val="Quote"/>
    <w:uiPriority w:val="29"/>
    <w:rsid w:val="00063557"/>
    <w:rPr>
      <w:i/>
      <w:iCs/>
      <w:color w:val="404040" w:themeColor="text1" w:themeTint="BF"/>
    </w:rPr>
  </w:style>
  <w:style w:type="paragraph" w:styleId="ListParagraph">
    <w:name w:val="List Paragraph"/>
    <w:basedOn w:val="Normal"/>
    <w:uiPriority w:val="34"/>
    <w:qFormat/>
    <w:rsid w:val="00063557"/>
    <w:pPr>
      <w:ind w:left="720"/>
      <w:contextualSpacing/>
    </w:pPr>
  </w:style>
  <w:style w:type="character" w:styleId="IntenseEmphasis">
    <w:name w:val="Intense Emphasis"/>
    <w:basedOn w:val="DefaultParagraphFont"/>
    <w:uiPriority w:val="21"/>
    <w:qFormat/>
    <w:rsid w:val="00063557"/>
    <w:rPr>
      <w:i/>
      <w:iCs/>
      <w:color w:val="0F4761" w:themeColor="accent1" w:themeShade="BF"/>
    </w:rPr>
  </w:style>
  <w:style w:type="paragraph" w:styleId="IntenseQuote">
    <w:name w:val="Intense Quote"/>
    <w:basedOn w:val="Normal"/>
    <w:next w:val="Normal"/>
    <w:link w:val="IntenseQuoteChar"/>
    <w:uiPriority w:val="30"/>
    <w:qFormat/>
    <w:rsid w:val="00063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557"/>
    <w:rPr>
      <w:i/>
      <w:iCs/>
      <w:color w:val="0F4761" w:themeColor="accent1" w:themeShade="BF"/>
    </w:rPr>
  </w:style>
  <w:style w:type="character" w:styleId="IntenseReference">
    <w:name w:val="Intense Reference"/>
    <w:basedOn w:val="DefaultParagraphFont"/>
    <w:uiPriority w:val="32"/>
    <w:qFormat/>
    <w:rsid w:val="00063557"/>
    <w:rPr>
      <w:b/>
      <w:bCs/>
      <w:smallCaps/>
      <w:color w:val="0F4761" w:themeColor="accent1" w:themeShade="BF"/>
      <w:spacing w:val="5"/>
    </w:rPr>
  </w:style>
  <w:style w:type="character" w:styleId="Hyperlink">
    <w:name w:val="Hyperlink"/>
    <w:basedOn w:val="DefaultParagraphFont"/>
    <w:uiPriority w:val="99"/>
    <w:unhideWhenUsed/>
    <w:rsid w:val="00B166ED"/>
    <w:rPr>
      <w:color w:val="467886" w:themeColor="hyperlink"/>
      <w:u w:val="single"/>
    </w:rPr>
  </w:style>
  <w:style w:type="character" w:styleId="UnresolvedMention">
    <w:name w:val="Unresolved Mention"/>
    <w:basedOn w:val="DefaultParagraphFont"/>
    <w:uiPriority w:val="99"/>
    <w:semiHidden/>
    <w:unhideWhenUsed/>
    <w:rsid w:val="00B166ED"/>
    <w:rPr>
      <w:color w:val="605E5C"/>
      <w:shd w:val="clear" w:color="auto" w:fill="E1DFDD"/>
    </w:rPr>
  </w:style>
  <w:style w:type="paragraph" w:styleId="Revision">
    <w:name w:val="Revision"/>
    <w:hidden/>
    <w:uiPriority w:val="99"/>
    <w:semiHidden/>
    <w:rsid w:val="00FB4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8334">
      <w:bodyDiv w:val="1"/>
      <w:marLeft w:val="0"/>
      <w:marRight w:val="0"/>
      <w:marTop w:val="0"/>
      <w:marBottom w:val="0"/>
      <w:divBdr>
        <w:top w:val="none" w:sz="0" w:space="0" w:color="auto"/>
        <w:left w:val="none" w:sz="0" w:space="0" w:color="auto"/>
        <w:bottom w:val="none" w:sz="0" w:space="0" w:color="auto"/>
        <w:right w:val="none" w:sz="0" w:space="0" w:color="auto"/>
      </w:divBdr>
    </w:div>
    <w:div w:id="358968178">
      <w:bodyDiv w:val="1"/>
      <w:marLeft w:val="0"/>
      <w:marRight w:val="0"/>
      <w:marTop w:val="0"/>
      <w:marBottom w:val="0"/>
      <w:divBdr>
        <w:top w:val="none" w:sz="0" w:space="0" w:color="auto"/>
        <w:left w:val="none" w:sz="0" w:space="0" w:color="auto"/>
        <w:bottom w:val="none" w:sz="0" w:space="0" w:color="auto"/>
        <w:right w:val="none" w:sz="0" w:space="0" w:color="auto"/>
      </w:divBdr>
    </w:div>
    <w:div w:id="1365521436">
      <w:bodyDiv w:val="1"/>
      <w:marLeft w:val="0"/>
      <w:marRight w:val="0"/>
      <w:marTop w:val="0"/>
      <w:marBottom w:val="0"/>
      <w:divBdr>
        <w:top w:val="none" w:sz="0" w:space="0" w:color="auto"/>
        <w:left w:val="none" w:sz="0" w:space="0" w:color="auto"/>
        <w:bottom w:val="none" w:sz="0" w:space="0" w:color="auto"/>
        <w:right w:val="none" w:sz="0" w:space="0" w:color="auto"/>
      </w:divBdr>
    </w:div>
    <w:div w:id="141578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providers.org/news/jobs-and-services-on-the-line-as-nhs-budget-squeeze-bites" TargetMode="External"/><Relationship Id="rId3" Type="http://schemas.openxmlformats.org/officeDocument/2006/relationships/settings" Target="settings.xml"/><Relationship Id="rId7" Type="http://schemas.openxmlformats.org/officeDocument/2006/relationships/hyperlink" Target="mailto:healthsector@unitetheunio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2.png@01DBD622.B13F9D5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CE37-E200-488E-8CCB-52DA1730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Munn, Richard</dc:creator>
  <cp:keywords/>
  <dc:description/>
  <cp:lastModifiedBy>Sabiers, Mik</cp:lastModifiedBy>
  <cp:revision>2</cp:revision>
  <dcterms:created xsi:type="dcterms:W3CDTF">2025-06-23T15:03:00Z</dcterms:created>
  <dcterms:modified xsi:type="dcterms:W3CDTF">2025-06-23T15:03:00Z</dcterms:modified>
</cp:coreProperties>
</file>