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0BD10" w14:textId="77777777" w:rsidR="005A3487" w:rsidRPr="006177CA" w:rsidRDefault="005A3487" w:rsidP="009C109B">
      <w:pPr>
        <w:rPr>
          <w:rFonts w:asciiTheme="minorHAnsi" w:hAnsiTheme="minorHAnsi"/>
          <w:b/>
          <w:bCs/>
          <w:sz w:val="24"/>
          <w:szCs w:val="24"/>
          <w:u w:val="single"/>
        </w:rPr>
      </w:pPr>
      <w:r w:rsidRPr="006177CA">
        <w:rPr>
          <w:rFonts w:asciiTheme="minorHAnsi" w:hAnsiTheme="minorHAnsi"/>
          <w:b/>
          <w:bCs/>
          <w:noProof/>
          <w:sz w:val="24"/>
          <w:szCs w:val="24"/>
          <w:u w:val="single"/>
        </w:rPr>
        <w:drawing>
          <wp:inline distT="0" distB="0" distL="0" distR="0" wp14:anchorId="08743492" wp14:editId="10FF55DC">
            <wp:extent cx="5986780" cy="895985"/>
            <wp:effectExtent l="0" t="0" r="0" b="0"/>
            <wp:docPr id="14834277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6780" cy="895985"/>
                    </a:xfrm>
                    <a:prstGeom prst="rect">
                      <a:avLst/>
                    </a:prstGeom>
                    <a:noFill/>
                  </pic:spPr>
                </pic:pic>
              </a:graphicData>
            </a:graphic>
          </wp:inline>
        </w:drawing>
      </w:r>
    </w:p>
    <w:p w14:paraId="632EEE73" w14:textId="77777777" w:rsidR="005A3487" w:rsidRPr="006C29C0" w:rsidRDefault="005A3487" w:rsidP="009C109B">
      <w:pPr>
        <w:rPr>
          <w:rFonts w:asciiTheme="minorHAnsi" w:hAnsiTheme="minorHAnsi"/>
          <w:b/>
          <w:bCs/>
          <w:sz w:val="24"/>
          <w:szCs w:val="24"/>
          <w:u w:val="single"/>
        </w:rPr>
      </w:pPr>
    </w:p>
    <w:p w14:paraId="5FD48D2A" w14:textId="4B006FCB" w:rsidR="00F82BC5" w:rsidRPr="006C29C0" w:rsidRDefault="008234FD" w:rsidP="009C109B">
      <w:pPr>
        <w:rPr>
          <w:rFonts w:asciiTheme="minorHAnsi" w:hAnsiTheme="minorHAnsi"/>
          <w:b/>
          <w:bCs/>
          <w:color w:val="FF0000"/>
          <w:sz w:val="24"/>
          <w:szCs w:val="24"/>
          <w:u w:val="single"/>
        </w:rPr>
      </w:pPr>
      <w:r w:rsidRPr="006C29C0">
        <w:rPr>
          <w:rFonts w:asciiTheme="minorHAnsi" w:hAnsiTheme="minorHAnsi"/>
          <w:b/>
          <w:bCs/>
          <w:sz w:val="24"/>
          <w:szCs w:val="24"/>
          <w:u w:val="single"/>
        </w:rPr>
        <w:t>Higher Education Joint Union Claim 202</w:t>
      </w:r>
      <w:r w:rsidR="00856EB3" w:rsidRPr="006C29C0">
        <w:rPr>
          <w:rFonts w:asciiTheme="minorHAnsi" w:hAnsiTheme="minorHAnsi"/>
          <w:b/>
          <w:bCs/>
          <w:sz w:val="24"/>
          <w:szCs w:val="24"/>
          <w:u w:val="single"/>
        </w:rPr>
        <w:t>5</w:t>
      </w:r>
      <w:r w:rsidRPr="006C29C0">
        <w:rPr>
          <w:rFonts w:asciiTheme="minorHAnsi" w:hAnsiTheme="minorHAnsi"/>
          <w:b/>
          <w:bCs/>
          <w:sz w:val="24"/>
          <w:szCs w:val="24"/>
          <w:u w:val="single"/>
        </w:rPr>
        <w:t>/202</w:t>
      </w:r>
      <w:r w:rsidR="00856EB3" w:rsidRPr="006C29C0">
        <w:rPr>
          <w:rFonts w:asciiTheme="minorHAnsi" w:hAnsiTheme="minorHAnsi"/>
          <w:b/>
          <w:bCs/>
          <w:sz w:val="24"/>
          <w:szCs w:val="24"/>
          <w:u w:val="single"/>
        </w:rPr>
        <w:t>6</w:t>
      </w:r>
      <w:r w:rsidR="00F82BC5" w:rsidRPr="006C29C0">
        <w:rPr>
          <w:rFonts w:asciiTheme="minorHAnsi" w:hAnsiTheme="minorHAnsi"/>
          <w:b/>
          <w:bCs/>
          <w:sz w:val="24"/>
          <w:szCs w:val="24"/>
          <w:u w:val="single"/>
        </w:rPr>
        <w:t>:</w:t>
      </w:r>
    </w:p>
    <w:p w14:paraId="783876AC" w14:textId="77777777" w:rsidR="00F82BC5" w:rsidRPr="006C29C0" w:rsidRDefault="00F82BC5" w:rsidP="009C109B">
      <w:pPr>
        <w:rPr>
          <w:rFonts w:asciiTheme="minorHAnsi" w:hAnsiTheme="minorHAnsi"/>
          <w:sz w:val="24"/>
          <w:szCs w:val="24"/>
        </w:rPr>
      </w:pPr>
    </w:p>
    <w:p w14:paraId="7513A260" w14:textId="77777777" w:rsidR="007A0A16" w:rsidRPr="006C29C0" w:rsidRDefault="007A0A16" w:rsidP="009C109B">
      <w:pPr>
        <w:rPr>
          <w:rFonts w:asciiTheme="minorHAnsi" w:hAnsiTheme="minorHAnsi"/>
          <w:b/>
          <w:bCs/>
          <w:sz w:val="24"/>
          <w:szCs w:val="24"/>
          <w:u w:val="single"/>
        </w:rPr>
      </w:pPr>
      <w:r w:rsidRPr="006C29C0">
        <w:rPr>
          <w:rFonts w:asciiTheme="minorHAnsi" w:hAnsiTheme="minorHAnsi"/>
          <w:b/>
          <w:bCs/>
          <w:sz w:val="24"/>
          <w:szCs w:val="24"/>
          <w:u w:val="single"/>
        </w:rPr>
        <w:t>Introduction</w:t>
      </w:r>
    </w:p>
    <w:p w14:paraId="0D4940D4" w14:textId="77777777" w:rsidR="007A0A16" w:rsidRPr="006C29C0" w:rsidRDefault="007A0A16" w:rsidP="009C109B">
      <w:pPr>
        <w:rPr>
          <w:rFonts w:asciiTheme="minorHAnsi" w:hAnsiTheme="minorHAnsi"/>
          <w:b/>
          <w:bCs/>
          <w:sz w:val="24"/>
          <w:szCs w:val="24"/>
          <w:u w:val="single"/>
        </w:rPr>
      </w:pPr>
    </w:p>
    <w:p w14:paraId="4E48B38C" w14:textId="4A7FEB2F" w:rsidR="007A0A16" w:rsidRPr="006C29C0" w:rsidRDefault="0028676F" w:rsidP="009C109B">
      <w:pPr>
        <w:rPr>
          <w:rFonts w:asciiTheme="minorHAnsi" w:hAnsiTheme="minorHAnsi"/>
          <w:sz w:val="24"/>
          <w:szCs w:val="24"/>
        </w:rPr>
      </w:pPr>
      <w:r w:rsidRPr="006C29C0">
        <w:rPr>
          <w:rFonts w:asciiTheme="minorHAnsi" w:hAnsiTheme="minorHAnsi"/>
          <w:sz w:val="24"/>
          <w:szCs w:val="24"/>
        </w:rPr>
        <w:t xml:space="preserve">Staff in higher education are still suffering from the fall in living standards caused by the spike in inflation during 2022. </w:t>
      </w:r>
      <w:r w:rsidR="009D65E9" w:rsidRPr="006C29C0">
        <w:rPr>
          <w:rFonts w:asciiTheme="minorHAnsi" w:hAnsiTheme="minorHAnsi"/>
          <w:sz w:val="24"/>
          <w:szCs w:val="24"/>
        </w:rPr>
        <w:t xml:space="preserve">Increases in pay </w:t>
      </w:r>
      <w:r w:rsidR="00855F24" w:rsidRPr="006C29C0">
        <w:rPr>
          <w:rFonts w:asciiTheme="minorHAnsi" w:hAnsiTheme="minorHAnsi"/>
          <w:sz w:val="24"/>
          <w:szCs w:val="24"/>
        </w:rPr>
        <w:t xml:space="preserve">since </w:t>
      </w:r>
      <w:r w:rsidR="009D65E9" w:rsidRPr="006C29C0">
        <w:rPr>
          <w:rFonts w:asciiTheme="minorHAnsi" w:hAnsiTheme="minorHAnsi"/>
          <w:sz w:val="24"/>
          <w:szCs w:val="24"/>
        </w:rPr>
        <w:t xml:space="preserve">have not matched the increases in </w:t>
      </w:r>
      <w:r w:rsidR="00363B89" w:rsidRPr="006C29C0">
        <w:rPr>
          <w:rFonts w:asciiTheme="minorHAnsi" w:hAnsiTheme="minorHAnsi"/>
          <w:sz w:val="24"/>
          <w:szCs w:val="24"/>
        </w:rPr>
        <w:t>inflation</w:t>
      </w:r>
      <w:r w:rsidR="002F21FA" w:rsidRPr="006C29C0">
        <w:rPr>
          <w:rFonts w:asciiTheme="minorHAnsi" w:hAnsiTheme="minorHAnsi"/>
          <w:sz w:val="24"/>
          <w:szCs w:val="24"/>
        </w:rPr>
        <w:t>.</w:t>
      </w:r>
      <w:r w:rsidR="00363B89" w:rsidRPr="006C29C0">
        <w:rPr>
          <w:rFonts w:asciiTheme="minorHAnsi" w:hAnsiTheme="minorHAnsi"/>
          <w:sz w:val="24"/>
          <w:szCs w:val="24"/>
        </w:rPr>
        <w:t xml:space="preserve"> </w:t>
      </w:r>
      <w:r w:rsidR="002F21FA" w:rsidRPr="006C29C0">
        <w:rPr>
          <w:rFonts w:asciiTheme="minorHAnsi" w:hAnsiTheme="minorHAnsi"/>
          <w:sz w:val="24"/>
          <w:szCs w:val="24"/>
        </w:rPr>
        <w:t>T</w:t>
      </w:r>
      <w:r w:rsidR="00363B89" w:rsidRPr="006C29C0">
        <w:rPr>
          <w:rFonts w:asciiTheme="minorHAnsi" w:hAnsiTheme="minorHAnsi"/>
          <w:sz w:val="24"/>
          <w:szCs w:val="24"/>
        </w:rPr>
        <w:t>his</w:t>
      </w:r>
      <w:r w:rsidR="002F21FA" w:rsidRPr="006C29C0">
        <w:rPr>
          <w:rFonts w:asciiTheme="minorHAnsi" w:hAnsiTheme="minorHAnsi"/>
          <w:sz w:val="24"/>
          <w:szCs w:val="24"/>
        </w:rPr>
        <w:t>,</w:t>
      </w:r>
      <w:r w:rsidR="00363B89" w:rsidRPr="006C29C0">
        <w:rPr>
          <w:rFonts w:asciiTheme="minorHAnsi" w:hAnsiTheme="minorHAnsi"/>
          <w:sz w:val="24"/>
          <w:szCs w:val="24"/>
        </w:rPr>
        <w:t xml:space="preserve"> coupled with particularly steep increases in housing and energy costs</w:t>
      </w:r>
      <w:r w:rsidR="009C109B">
        <w:rPr>
          <w:rFonts w:asciiTheme="minorHAnsi" w:hAnsiTheme="minorHAnsi"/>
          <w:sz w:val="24"/>
          <w:szCs w:val="24"/>
        </w:rPr>
        <w:t>,</w:t>
      </w:r>
      <w:r w:rsidR="00363B89" w:rsidRPr="006C29C0">
        <w:rPr>
          <w:rFonts w:asciiTheme="minorHAnsi" w:hAnsiTheme="minorHAnsi"/>
          <w:sz w:val="24"/>
          <w:szCs w:val="24"/>
        </w:rPr>
        <w:t xml:space="preserve"> ha</w:t>
      </w:r>
      <w:r w:rsidR="009C109B">
        <w:rPr>
          <w:rFonts w:asciiTheme="minorHAnsi" w:hAnsiTheme="minorHAnsi"/>
          <w:sz w:val="24"/>
          <w:szCs w:val="24"/>
        </w:rPr>
        <w:t>s</w:t>
      </w:r>
      <w:r w:rsidR="00363B89" w:rsidRPr="006C29C0">
        <w:rPr>
          <w:rFonts w:asciiTheme="minorHAnsi" w:hAnsiTheme="minorHAnsi"/>
          <w:sz w:val="24"/>
          <w:szCs w:val="24"/>
        </w:rPr>
        <w:t xml:space="preserve"> seen the living standards of our members fall in the last three years.</w:t>
      </w:r>
    </w:p>
    <w:p w14:paraId="561CD3FB" w14:textId="77777777" w:rsidR="007A0A16" w:rsidRPr="006C29C0" w:rsidRDefault="007A0A16" w:rsidP="009C109B">
      <w:pPr>
        <w:rPr>
          <w:rFonts w:asciiTheme="minorHAnsi" w:hAnsiTheme="minorHAnsi"/>
          <w:sz w:val="24"/>
          <w:szCs w:val="24"/>
        </w:rPr>
      </w:pPr>
    </w:p>
    <w:p w14:paraId="61E5B2E2" w14:textId="18B1F769" w:rsidR="00834DCF" w:rsidRPr="006C29C0" w:rsidRDefault="00F44D86" w:rsidP="009C109B">
      <w:pPr>
        <w:rPr>
          <w:rFonts w:asciiTheme="minorHAnsi" w:hAnsiTheme="minorHAnsi"/>
          <w:sz w:val="24"/>
          <w:szCs w:val="24"/>
        </w:rPr>
      </w:pPr>
      <w:r w:rsidRPr="006C29C0">
        <w:rPr>
          <w:rFonts w:asciiTheme="minorHAnsi" w:hAnsiTheme="minorHAnsi"/>
          <w:sz w:val="24"/>
          <w:szCs w:val="24"/>
        </w:rPr>
        <w:t>Last year saw the end of the freeze in domestic student fees and the prospect of a longer</w:t>
      </w:r>
      <w:r w:rsidR="002F21FA" w:rsidRPr="006C29C0">
        <w:rPr>
          <w:rFonts w:asciiTheme="minorHAnsi" w:hAnsiTheme="minorHAnsi"/>
          <w:sz w:val="24"/>
          <w:szCs w:val="24"/>
        </w:rPr>
        <w:t>-</w:t>
      </w:r>
      <w:r w:rsidRPr="006C29C0">
        <w:rPr>
          <w:rFonts w:asciiTheme="minorHAnsi" w:hAnsiTheme="minorHAnsi"/>
          <w:sz w:val="24"/>
          <w:szCs w:val="24"/>
        </w:rPr>
        <w:t xml:space="preserve">term </w:t>
      </w:r>
      <w:r w:rsidR="0006277C" w:rsidRPr="006C29C0">
        <w:rPr>
          <w:rFonts w:asciiTheme="minorHAnsi" w:hAnsiTheme="minorHAnsi"/>
          <w:sz w:val="24"/>
          <w:szCs w:val="24"/>
        </w:rPr>
        <w:t xml:space="preserve">funding settlement for the sector. Despite the recent series of announcements of </w:t>
      </w:r>
      <w:r w:rsidR="00604F4C" w:rsidRPr="006C29C0">
        <w:rPr>
          <w:rFonts w:asciiTheme="minorHAnsi" w:hAnsiTheme="minorHAnsi"/>
          <w:sz w:val="24"/>
          <w:szCs w:val="24"/>
        </w:rPr>
        <w:t>job losses, redundancies and course closures in higher education</w:t>
      </w:r>
      <w:r w:rsidR="00CA08E7" w:rsidRPr="006C29C0">
        <w:rPr>
          <w:rFonts w:asciiTheme="minorHAnsi" w:hAnsiTheme="minorHAnsi"/>
          <w:sz w:val="24"/>
          <w:szCs w:val="24"/>
        </w:rPr>
        <w:t xml:space="preserve">, there is a prospect </w:t>
      </w:r>
      <w:r w:rsidR="00834DCF" w:rsidRPr="006C29C0">
        <w:rPr>
          <w:rFonts w:asciiTheme="minorHAnsi" w:hAnsiTheme="minorHAnsi"/>
          <w:sz w:val="24"/>
          <w:szCs w:val="24"/>
        </w:rPr>
        <w:t>of additional funding for the sector.</w:t>
      </w:r>
    </w:p>
    <w:p w14:paraId="2DD920E6" w14:textId="77777777" w:rsidR="00834DCF" w:rsidRPr="006C29C0" w:rsidRDefault="00834DCF" w:rsidP="009C109B">
      <w:pPr>
        <w:rPr>
          <w:rFonts w:asciiTheme="minorHAnsi" w:hAnsiTheme="minorHAnsi"/>
          <w:sz w:val="24"/>
          <w:szCs w:val="24"/>
        </w:rPr>
      </w:pPr>
    </w:p>
    <w:p w14:paraId="35361936" w14:textId="771E07F4" w:rsidR="007A0A16" w:rsidRPr="006C29C0" w:rsidRDefault="00834DCF" w:rsidP="009C109B">
      <w:pPr>
        <w:rPr>
          <w:rFonts w:asciiTheme="minorHAnsi" w:hAnsiTheme="minorHAnsi"/>
          <w:sz w:val="24"/>
          <w:szCs w:val="24"/>
        </w:rPr>
      </w:pPr>
      <w:r w:rsidRPr="006C29C0">
        <w:rPr>
          <w:rFonts w:asciiTheme="minorHAnsi" w:hAnsiTheme="minorHAnsi"/>
          <w:sz w:val="24"/>
          <w:szCs w:val="24"/>
        </w:rPr>
        <w:t>W</w:t>
      </w:r>
      <w:r w:rsidR="00CA08E7" w:rsidRPr="006C29C0">
        <w:rPr>
          <w:rFonts w:asciiTheme="minorHAnsi" w:hAnsiTheme="minorHAnsi"/>
          <w:sz w:val="24"/>
          <w:szCs w:val="24"/>
        </w:rPr>
        <w:t>e believe that the only way that higher education can succ</w:t>
      </w:r>
      <w:r w:rsidRPr="006C29C0">
        <w:rPr>
          <w:rFonts w:asciiTheme="minorHAnsi" w:hAnsiTheme="minorHAnsi"/>
          <w:sz w:val="24"/>
          <w:szCs w:val="24"/>
        </w:rPr>
        <w:t>e</w:t>
      </w:r>
      <w:r w:rsidR="00CA08E7" w:rsidRPr="006C29C0">
        <w:rPr>
          <w:rFonts w:asciiTheme="minorHAnsi" w:hAnsiTheme="minorHAnsi"/>
          <w:sz w:val="24"/>
          <w:szCs w:val="24"/>
        </w:rPr>
        <w:t>ed</w:t>
      </w:r>
      <w:r w:rsidRPr="006C29C0">
        <w:rPr>
          <w:rFonts w:asciiTheme="minorHAnsi" w:hAnsiTheme="minorHAnsi"/>
          <w:sz w:val="24"/>
          <w:szCs w:val="24"/>
        </w:rPr>
        <w:t xml:space="preserve"> and demonstrate its ability to </w:t>
      </w:r>
      <w:r w:rsidR="00E22DF8" w:rsidRPr="006C29C0">
        <w:rPr>
          <w:rFonts w:asciiTheme="minorHAnsi" w:hAnsiTheme="minorHAnsi"/>
          <w:sz w:val="24"/>
          <w:szCs w:val="24"/>
        </w:rPr>
        <w:t xml:space="preserve">meet the criteria set by government </w:t>
      </w:r>
      <w:r w:rsidR="00E70CC6" w:rsidRPr="006C29C0">
        <w:rPr>
          <w:rFonts w:asciiTheme="minorHAnsi" w:hAnsiTheme="minorHAnsi"/>
          <w:sz w:val="24"/>
          <w:szCs w:val="24"/>
        </w:rPr>
        <w:t>for further increases in funding is by investing in its workforce. This includes providing for a pay increase that reverse</w:t>
      </w:r>
      <w:r w:rsidR="001A7E1A" w:rsidRPr="006C29C0">
        <w:rPr>
          <w:rFonts w:asciiTheme="minorHAnsi" w:hAnsiTheme="minorHAnsi"/>
          <w:sz w:val="24"/>
          <w:szCs w:val="24"/>
        </w:rPr>
        <w:t>s</w:t>
      </w:r>
      <w:r w:rsidR="00E70CC6" w:rsidRPr="006C29C0">
        <w:rPr>
          <w:rFonts w:asciiTheme="minorHAnsi" w:hAnsiTheme="minorHAnsi"/>
          <w:sz w:val="24"/>
          <w:szCs w:val="24"/>
        </w:rPr>
        <w:t xml:space="preserve"> the cuts in living standards that many of our members have suffered in the last three years.</w:t>
      </w:r>
    </w:p>
    <w:p w14:paraId="59EF9351" w14:textId="77777777" w:rsidR="00E70CC6" w:rsidRPr="006C29C0" w:rsidRDefault="00E70CC6" w:rsidP="009C109B">
      <w:pPr>
        <w:rPr>
          <w:rFonts w:asciiTheme="minorHAnsi" w:hAnsiTheme="minorHAnsi"/>
          <w:sz w:val="24"/>
          <w:szCs w:val="24"/>
        </w:rPr>
      </w:pPr>
    </w:p>
    <w:p w14:paraId="5653E898" w14:textId="2FA06072" w:rsidR="00E70CC6" w:rsidRPr="006C29C0" w:rsidRDefault="0062274B" w:rsidP="009C109B">
      <w:pPr>
        <w:rPr>
          <w:rFonts w:asciiTheme="minorHAnsi" w:hAnsiTheme="minorHAnsi"/>
          <w:sz w:val="24"/>
          <w:szCs w:val="24"/>
        </w:rPr>
      </w:pPr>
      <w:r w:rsidRPr="006C29C0">
        <w:rPr>
          <w:rFonts w:asciiTheme="minorHAnsi" w:hAnsiTheme="minorHAnsi"/>
          <w:sz w:val="24"/>
          <w:szCs w:val="24"/>
        </w:rPr>
        <w:t xml:space="preserve">UCEA and the Joint Trade Unions undertook substantial work last year to jointly agree </w:t>
      </w:r>
      <w:r w:rsidR="001F796B" w:rsidRPr="006C29C0">
        <w:rPr>
          <w:rFonts w:asciiTheme="minorHAnsi" w:hAnsiTheme="minorHAnsi"/>
          <w:sz w:val="24"/>
          <w:szCs w:val="24"/>
        </w:rPr>
        <w:t xml:space="preserve">terms of reference for four key areas of work last year. </w:t>
      </w:r>
      <w:r w:rsidR="00E95D9C">
        <w:rPr>
          <w:rFonts w:asciiTheme="minorHAnsi" w:hAnsiTheme="minorHAnsi"/>
          <w:sz w:val="24"/>
          <w:szCs w:val="24"/>
        </w:rPr>
        <w:t xml:space="preserve">(Review of the pay </w:t>
      </w:r>
      <w:r w:rsidR="00741311">
        <w:rPr>
          <w:rFonts w:asciiTheme="minorHAnsi" w:hAnsiTheme="minorHAnsi"/>
          <w:sz w:val="24"/>
          <w:szCs w:val="24"/>
        </w:rPr>
        <w:t>spine</w:t>
      </w:r>
      <w:r w:rsidR="00A4497B">
        <w:rPr>
          <w:rFonts w:asciiTheme="minorHAnsi" w:hAnsiTheme="minorHAnsi"/>
          <w:sz w:val="24"/>
          <w:szCs w:val="24"/>
        </w:rPr>
        <w:t>, c</w:t>
      </w:r>
      <w:r w:rsidR="00741311">
        <w:rPr>
          <w:rFonts w:asciiTheme="minorHAnsi" w:hAnsiTheme="minorHAnsi"/>
          <w:sz w:val="24"/>
          <w:szCs w:val="24"/>
        </w:rPr>
        <w:t xml:space="preserve">ontract types/casualisation, workloads </w:t>
      </w:r>
      <w:r w:rsidR="00A4497B">
        <w:rPr>
          <w:rFonts w:asciiTheme="minorHAnsi" w:hAnsiTheme="minorHAnsi"/>
          <w:sz w:val="24"/>
          <w:szCs w:val="24"/>
        </w:rPr>
        <w:t xml:space="preserve">and equality pay gaps.) </w:t>
      </w:r>
      <w:r w:rsidR="001F796B" w:rsidRPr="006C29C0">
        <w:rPr>
          <w:rFonts w:asciiTheme="minorHAnsi" w:hAnsiTheme="minorHAnsi"/>
          <w:sz w:val="24"/>
          <w:szCs w:val="24"/>
        </w:rPr>
        <w:t xml:space="preserve">Although this offer of joint work for subsequently withdrawn </w:t>
      </w:r>
      <w:proofErr w:type="gramStart"/>
      <w:r w:rsidR="001F796B" w:rsidRPr="006C29C0">
        <w:rPr>
          <w:rFonts w:asciiTheme="minorHAnsi" w:hAnsiTheme="minorHAnsi"/>
          <w:sz w:val="24"/>
          <w:szCs w:val="24"/>
        </w:rPr>
        <w:t>as a result of</w:t>
      </w:r>
      <w:proofErr w:type="gramEnd"/>
      <w:r w:rsidR="001F796B" w:rsidRPr="006C29C0">
        <w:rPr>
          <w:rFonts w:asciiTheme="minorHAnsi" w:hAnsiTheme="minorHAnsi"/>
          <w:sz w:val="24"/>
          <w:szCs w:val="24"/>
        </w:rPr>
        <w:t xml:space="preserve"> </w:t>
      </w:r>
      <w:r w:rsidR="00F4482A" w:rsidRPr="006C29C0">
        <w:rPr>
          <w:rFonts w:asciiTheme="minorHAnsi" w:hAnsiTheme="minorHAnsi"/>
          <w:sz w:val="24"/>
          <w:szCs w:val="24"/>
        </w:rPr>
        <w:t>some unions rejecting the pay element of the 2024/5 pay offer</w:t>
      </w:r>
      <w:r w:rsidR="00D0729C" w:rsidRPr="006C29C0">
        <w:rPr>
          <w:rFonts w:asciiTheme="minorHAnsi" w:hAnsiTheme="minorHAnsi"/>
          <w:sz w:val="24"/>
          <w:szCs w:val="24"/>
        </w:rPr>
        <w:t xml:space="preserve">, we do not think that this work should go to waste and </w:t>
      </w:r>
      <w:r w:rsidR="005A6862">
        <w:rPr>
          <w:rFonts w:asciiTheme="minorHAnsi" w:hAnsiTheme="minorHAnsi"/>
          <w:sz w:val="24"/>
          <w:szCs w:val="24"/>
        </w:rPr>
        <w:t xml:space="preserve">believe </w:t>
      </w:r>
      <w:r w:rsidR="006B5190" w:rsidRPr="006C29C0">
        <w:rPr>
          <w:rFonts w:asciiTheme="minorHAnsi" w:hAnsiTheme="minorHAnsi"/>
          <w:sz w:val="24"/>
          <w:szCs w:val="24"/>
        </w:rPr>
        <w:t xml:space="preserve">that the working groups should be re-convened under the </w:t>
      </w:r>
      <w:r w:rsidR="00D428C0" w:rsidRPr="006C29C0">
        <w:rPr>
          <w:rFonts w:asciiTheme="minorHAnsi" w:hAnsiTheme="minorHAnsi"/>
          <w:sz w:val="24"/>
          <w:szCs w:val="24"/>
        </w:rPr>
        <w:t xml:space="preserve">previously </w:t>
      </w:r>
      <w:r w:rsidR="006B5190" w:rsidRPr="006C29C0">
        <w:rPr>
          <w:rFonts w:asciiTheme="minorHAnsi" w:hAnsiTheme="minorHAnsi"/>
          <w:sz w:val="24"/>
          <w:szCs w:val="24"/>
        </w:rPr>
        <w:t>agreed terms of reference.</w:t>
      </w:r>
    </w:p>
    <w:p w14:paraId="3FF78176" w14:textId="77777777" w:rsidR="006B5190" w:rsidRDefault="006B5190" w:rsidP="009C109B">
      <w:pPr>
        <w:rPr>
          <w:rFonts w:asciiTheme="minorHAnsi" w:hAnsiTheme="minorHAnsi"/>
          <w:sz w:val="24"/>
          <w:szCs w:val="24"/>
        </w:rPr>
      </w:pPr>
    </w:p>
    <w:p w14:paraId="215509D5" w14:textId="77777777" w:rsidR="006534A3" w:rsidRDefault="006B5190" w:rsidP="009C109B">
      <w:pPr>
        <w:rPr>
          <w:rFonts w:asciiTheme="minorHAnsi" w:hAnsiTheme="minorHAnsi"/>
          <w:sz w:val="24"/>
          <w:szCs w:val="24"/>
        </w:rPr>
      </w:pPr>
      <w:r w:rsidRPr="006C29C0">
        <w:rPr>
          <w:rFonts w:asciiTheme="minorHAnsi" w:hAnsiTheme="minorHAnsi"/>
          <w:sz w:val="24"/>
          <w:szCs w:val="24"/>
        </w:rPr>
        <w:t xml:space="preserve">In particular, the </w:t>
      </w:r>
      <w:r w:rsidR="001C660B" w:rsidRPr="006C29C0">
        <w:rPr>
          <w:rFonts w:asciiTheme="minorHAnsi" w:hAnsiTheme="minorHAnsi"/>
          <w:sz w:val="24"/>
          <w:szCs w:val="24"/>
        </w:rPr>
        <w:t>recent further additional increases in the national Living Wage ha</w:t>
      </w:r>
      <w:r w:rsidR="00AC6853" w:rsidRPr="006C29C0">
        <w:rPr>
          <w:rFonts w:asciiTheme="minorHAnsi" w:hAnsiTheme="minorHAnsi"/>
          <w:sz w:val="24"/>
          <w:szCs w:val="24"/>
        </w:rPr>
        <w:t>ve</w:t>
      </w:r>
      <w:r w:rsidR="001C660B" w:rsidRPr="006C29C0">
        <w:rPr>
          <w:rFonts w:asciiTheme="minorHAnsi" w:hAnsiTheme="minorHAnsi"/>
          <w:sz w:val="24"/>
          <w:szCs w:val="24"/>
        </w:rPr>
        <w:t xml:space="preserve"> meant that </w:t>
      </w:r>
      <w:r w:rsidR="00246599" w:rsidRPr="006C29C0">
        <w:rPr>
          <w:rFonts w:asciiTheme="minorHAnsi" w:hAnsiTheme="minorHAnsi"/>
          <w:sz w:val="24"/>
          <w:szCs w:val="24"/>
        </w:rPr>
        <w:t xml:space="preserve">need for </w:t>
      </w:r>
      <w:r w:rsidR="001C660B" w:rsidRPr="006C29C0">
        <w:rPr>
          <w:rFonts w:asciiTheme="minorHAnsi" w:hAnsiTheme="minorHAnsi"/>
          <w:sz w:val="24"/>
          <w:szCs w:val="24"/>
        </w:rPr>
        <w:t xml:space="preserve">reform </w:t>
      </w:r>
      <w:r w:rsidR="00246599" w:rsidRPr="006C29C0">
        <w:rPr>
          <w:rFonts w:asciiTheme="minorHAnsi" w:hAnsiTheme="minorHAnsi"/>
          <w:sz w:val="24"/>
          <w:szCs w:val="24"/>
        </w:rPr>
        <w:t xml:space="preserve">of the New JNCHES Pay Spine more urgent than ever. The increases in NLW </w:t>
      </w:r>
      <w:r w:rsidR="009F4423" w:rsidRPr="006C29C0">
        <w:rPr>
          <w:rFonts w:asciiTheme="minorHAnsi" w:hAnsiTheme="minorHAnsi"/>
          <w:sz w:val="24"/>
          <w:szCs w:val="24"/>
        </w:rPr>
        <w:t>have rendered many of the existing pay points obsolete, eroded meaningful pay</w:t>
      </w:r>
      <w:r w:rsidR="00C15C68" w:rsidRPr="006C29C0">
        <w:rPr>
          <w:rFonts w:asciiTheme="minorHAnsi" w:hAnsiTheme="minorHAnsi"/>
          <w:sz w:val="24"/>
          <w:szCs w:val="24"/>
        </w:rPr>
        <w:t xml:space="preserve"> differential between points</w:t>
      </w:r>
      <w:r w:rsidR="008E3112" w:rsidRPr="006C29C0">
        <w:rPr>
          <w:rFonts w:asciiTheme="minorHAnsi" w:hAnsiTheme="minorHAnsi"/>
          <w:sz w:val="24"/>
          <w:szCs w:val="24"/>
        </w:rPr>
        <w:t>,</w:t>
      </w:r>
      <w:r w:rsidR="00C15C68" w:rsidRPr="006C29C0">
        <w:rPr>
          <w:rFonts w:asciiTheme="minorHAnsi" w:hAnsiTheme="minorHAnsi"/>
          <w:sz w:val="24"/>
          <w:szCs w:val="24"/>
        </w:rPr>
        <w:t xml:space="preserve"> resulting in outdated and unfair pay arrangements. We believe that </w:t>
      </w:r>
      <w:r w:rsidR="006F4C84" w:rsidRPr="006C29C0">
        <w:rPr>
          <w:rFonts w:asciiTheme="minorHAnsi" w:hAnsiTheme="minorHAnsi"/>
          <w:sz w:val="24"/>
          <w:szCs w:val="24"/>
        </w:rPr>
        <w:t>taking forward the discussions on reform of the pay spine should be an urgent priority of New JNCHES as part of this pay round.</w:t>
      </w:r>
    </w:p>
    <w:p w14:paraId="486D6A1F" w14:textId="77777777" w:rsidR="006534A3" w:rsidRDefault="006534A3" w:rsidP="009C109B">
      <w:pPr>
        <w:rPr>
          <w:rFonts w:asciiTheme="minorHAnsi" w:hAnsiTheme="minorHAnsi"/>
          <w:sz w:val="24"/>
          <w:szCs w:val="24"/>
        </w:rPr>
      </w:pPr>
    </w:p>
    <w:p w14:paraId="7E581BC9" w14:textId="3CD43E38" w:rsidR="00A5032B" w:rsidRDefault="00A5032B" w:rsidP="009C109B">
      <w:pPr>
        <w:rPr>
          <w:rFonts w:asciiTheme="minorHAnsi" w:hAnsiTheme="minorHAnsi"/>
          <w:sz w:val="24"/>
          <w:szCs w:val="24"/>
        </w:rPr>
      </w:pPr>
      <w:r w:rsidRPr="00A5032B">
        <w:rPr>
          <w:rFonts w:asciiTheme="minorHAnsi" w:hAnsiTheme="minorHAnsi"/>
          <w:sz w:val="24"/>
          <w:szCs w:val="24"/>
        </w:rPr>
        <w:t xml:space="preserve">In addition, last year’s offer contained proposals to take forward work on issues arising from gender inequalities in pension provision, a Green New Deal and Just Transition, and on Term Time Only Contracts. We believe these issues </w:t>
      </w:r>
      <w:r w:rsidR="008E693B">
        <w:rPr>
          <w:rFonts w:asciiTheme="minorHAnsi" w:hAnsiTheme="minorHAnsi"/>
          <w:sz w:val="24"/>
          <w:szCs w:val="24"/>
        </w:rPr>
        <w:t>s</w:t>
      </w:r>
      <w:r w:rsidRPr="00A5032B">
        <w:rPr>
          <w:rFonts w:asciiTheme="minorHAnsi" w:hAnsiTheme="minorHAnsi"/>
          <w:sz w:val="24"/>
          <w:szCs w:val="24"/>
        </w:rPr>
        <w:t>till require further work and form part of our claim. However, rather than have further discussions on these issues as part of this year’s negotiations, the trade unions are content that work on these areas are taken forward as proposed in the final offer to trade unions set out on 27 August 2024.</w:t>
      </w:r>
    </w:p>
    <w:p w14:paraId="425F2A82" w14:textId="77777777" w:rsidR="00A5032B" w:rsidRDefault="00A5032B" w:rsidP="009C109B">
      <w:pPr>
        <w:rPr>
          <w:rFonts w:asciiTheme="minorHAnsi" w:hAnsiTheme="minorHAnsi"/>
          <w:sz w:val="24"/>
          <w:szCs w:val="24"/>
        </w:rPr>
      </w:pPr>
    </w:p>
    <w:p w14:paraId="2F82281E" w14:textId="4078D0B3" w:rsidR="006B5190" w:rsidRDefault="007552BC" w:rsidP="009C109B">
      <w:pPr>
        <w:rPr>
          <w:rFonts w:asciiTheme="minorHAnsi" w:hAnsiTheme="minorHAnsi"/>
          <w:sz w:val="24"/>
          <w:szCs w:val="24"/>
        </w:rPr>
      </w:pPr>
      <w:r>
        <w:rPr>
          <w:rFonts w:asciiTheme="minorHAnsi" w:hAnsiTheme="minorHAnsi"/>
          <w:sz w:val="24"/>
          <w:szCs w:val="24"/>
        </w:rPr>
        <w:t xml:space="preserve">The spate of </w:t>
      </w:r>
      <w:r w:rsidR="00AE3388">
        <w:rPr>
          <w:rFonts w:asciiTheme="minorHAnsi" w:hAnsiTheme="minorHAnsi"/>
          <w:sz w:val="24"/>
          <w:szCs w:val="24"/>
        </w:rPr>
        <w:t>redundancies and course closures that have taken place across all four nations of the UK</w:t>
      </w:r>
      <w:r w:rsidR="00A760BD">
        <w:rPr>
          <w:rFonts w:asciiTheme="minorHAnsi" w:hAnsiTheme="minorHAnsi"/>
          <w:sz w:val="24"/>
          <w:szCs w:val="24"/>
        </w:rPr>
        <w:t xml:space="preserve"> in the last year</w:t>
      </w:r>
      <w:r w:rsidR="00AE3388">
        <w:rPr>
          <w:rFonts w:asciiTheme="minorHAnsi" w:hAnsiTheme="minorHAnsi"/>
          <w:sz w:val="24"/>
          <w:szCs w:val="24"/>
        </w:rPr>
        <w:t xml:space="preserve"> emphasis</w:t>
      </w:r>
      <w:r w:rsidR="00A760BD">
        <w:rPr>
          <w:rFonts w:asciiTheme="minorHAnsi" w:hAnsiTheme="minorHAnsi"/>
          <w:sz w:val="24"/>
          <w:szCs w:val="24"/>
        </w:rPr>
        <w:t>es</w:t>
      </w:r>
      <w:r w:rsidR="00AE3388">
        <w:rPr>
          <w:rFonts w:asciiTheme="minorHAnsi" w:hAnsiTheme="minorHAnsi"/>
          <w:sz w:val="24"/>
          <w:szCs w:val="24"/>
        </w:rPr>
        <w:t xml:space="preserve"> the ne</w:t>
      </w:r>
      <w:r w:rsidR="00A760BD">
        <w:rPr>
          <w:rFonts w:asciiTheme="minorHAnsi" w:hAnsiTheme="minorHAnsi"/>
          <w:sz w:val="24"/>
          <w:szCs w:val="24"/>
        </w:rPr>
        <w:t>e</w:t>
      </w:r>
      <w:r w:rsidR="00AE3388">
        <w:rPr>
          <w:rFonts w:asciiTheme="minorHAnsi" w:hAnsiTheme="minorHAnsi"/>
          <w:sz w:val="24"/>
          <w:szCs w:val="24"/>
        </w:rPr>
        <w:t xml:space="preserve">d for further joint work </w:t>
      </w:r>
      <w:r w:rsidR="00882E0A">
        <w:rPr>
          <w:rFonts w:asciiTheme="minorHAnsi" w:hAnsiTheme="minorHAnsi"/>
          <w:sz w:val="24"/>
          <w:szCs w:val="24"/>
        </w:rPr>
        <w:t xml:space="preserve">to avoid further cuts and </w:t>
      </w:r>
      <w:r w:rsidR="00E96211">
        <w:rPr>
          <w:rFonts w:asciiTheme="minorHAnsi" w:hAnsiTheme="minorHAnsi"/>
          <w:sz w:val="24"/>
          <w:szCs w:val="24"/>
        </w:rPr>
        <w:t>long-term</w:t>
      </w:r>
      <w:r w:rsidR="00882E0A">
        <w:rPr>
          <w:rFonts w:asciiTheme="minorHAnsi" w:hAnsiTheme="minorHAnsi"/>
          <w:sz w:val="24"/>
          <w:szCs w:val="24"/>
        </w:rPr>
        <w:t xml:space="preserve"> damage to </w:t>
      </w:r>
      <w:r w:rsidR="000A4B6A">
        <w:rPr>
          <w:rFonts w:asciiTheme="minorHAnsi" w:hAnsiTheme="minorHAnsi"/>
          <w:sz w:val="24"/>
          <w:szCs w:val="24"/>
        </w:rPr>
        <w:t xml:space="preserve">UK higher education sector. </w:t>
      </w:r>
      <w:r w:rsidR="00CC168C">
        <w:rPr>
          <w:rFonts w:asciiTheme="minorHAnsi" w:hAnsiTheme="minorHAnsi"/>
          <w:sz w:val="24"/>
          <w:szCs w:val="24"/>
        </w:rPr>
        <w:t xml:space="preserve">The trade union side is calling on UCEA </w:t>
      </w:r>
      <w:r w:rsidR="0015387A">
        <w:rPr>
          <w:rFonts w:asciiTheme="minorHAnsi" w:hAnsiTheme="minorHAnsi"/>
          <w:sz w:val="24"/>
          <w:szCs w:val="24"/>
        </w:rPr>
        <w:t xml:space="preserve">to engage in further joint work to avoid </w:t>
      </w:r>
      <w:r w:rsidR="0032775E">
        <w:rPr>
          <w:rFonts w:asciiTheme="minorHAnsi" w:hAnsiTheme="minorHAnsi"/>
          <w:sz w:val="24"/>
          <w:szCs w:val="24"/>
        </w:rPr>
        <w:t xml:space="preserve">further redundancies and to campaign for a </w:t>
      </w:r>
      <w:r w:rsidR="00652A74">
        <w:rPr>
          <w:rFonts w:asciiTheme="minorHAnsi" w:hAnsiTheme="minorHAnsi"/>
          <w:sz w:val="24"/>
          <w:szCs w:val="24"/>
        </w:rPr>
        <w:t xml:space="preserve">sustainable long term funding settlement </w:t>
      </w:r>
      <w:r w:rsidR="00DF4E61">
        <w:rPr>
          <w:rFonts w:asciiTheme="minorHAnsi" w:hAnsiTheme="minorHAnsi"/>
          <w:sz w:val="24"/>
          <w:szCs w:val="24"/>
        </w:rPr>
        <w:t>for the sector.</w:t>
      </w:r>
    </w:p>
    <w:p w14:paraId="7E45CFAD" w14:textId="77777777" w:rsidR="00E23CA6" w:rsidRPr="006C29C0" w:rsidRDefault="00E23CA6" w:rsidP="009C109B">
      <w:pPr>
        <w:rPr>
          <w:rFonts w:asciiTheme="minorHAnsi" w:hAnsiTheme="minorHAnsi"/>
          <w:sz w:val="24"/>
          <w:szCs w:val="24"/>
        </w:rPr>
      </w:pPr>
    </w:p>
    <w:p w14:paraId="60F77C97" w14:textId="233AC28D" w:rsidR="00565C1C" w:rsidRPr="009C109B" w:rsidRDefault="00565C1C" w:rsidP="009C109B">
      <w:pPr>
        <w:rPr>
          <w:rFonts w:asciiTheme="minorHAnsi" w:hAnsiTheme="minorHAnsi"/>
          <w:sz w:val="24"/>
          <w:szCs w:val="24"/>
        </w:rPr>
      </w:pPr>
      <w:r w:rsidRPr="009C109B">
        <w:rPr>
          <w:rFonts w:asciiTheme="minorHAnsi" w:hAnsiTheme="minorHAnsi"/>
          <w:sz w:val="24"/>
          <w:szCs w:val="24"/>
        </w:rPr>
        <w:t>Given current</w:t>
      </w:r>
      <w:r w:rsidR="00CD5212" w:rsidRPr="009C109B">
        <w:rPr>
          <w:rFonts w:asciiTheme="minorHAnsi" w:hAnsiTheme="minorHAnsi"/>
          <w:sz w:val="24"/>
          <w:szCs w:val="24"/>
        </w:rPr>
        <w:t xml:space="preserve"> </w:t>
      </w:r>
      <w:r w:rsidRPr="009C109B">
        <w:rPr>
          <w:rFonts w:asciiTheme="minorHAnsi" w:hAnsiTheme="minorHAnsi"/>
          <w:sz w:val="24"/>
          <w:szCs w:val="24"/>
        </w:rPr>
        <w:t>major shifts in geopolitics</w:t>
      </w:r>
      <w:r w:rsidR="00CD5212" w:rsidRPr="009C109B">
        <w:rPr>
          <w:rFonts w:asciiTheme="minorHAnsi" w:hAnsiTheme="minorHAnsi"/>
          <w:sz w:val="24"/>
          <w:szCs w:val="24"/>
        </w:rPr>
        <w:t>,</w:t>
      </w:r>
      <w:r w:rsidRPr="009C109B">
        <w:rPr>
          <w:rFonts w:asciiTheme="minorHAnsi" w:hAnsiTheme="minorHAnsi"/>
          <w:sz w:val="24"/>
          <w:szCs w:val="24"/>
        </w:rPr>
        <w:t xml:space="preserve"> the joint unions believe that downsizing the Higher Education sector at this crucial time would be a strategic mistake. Over the next decade Higher Education will need to play a key role in the Government’s industrial strategy and workforce development. Reducing the number of Higher </w:t>
      </w:r>
      <w:r w:rsidR="00CD5212" w:rsidRPr="009C109B">
        <w:rPr>
          <w:rFonts w:asciiTheme="minorHAnsi" w:hAnsiTheme="minorHAnsi"/>
          <w:sz w:val="24"/>
          <w:szCs w:val="24"/>
        </w:rPr>
        <w:t xml:space="preserve">Education </w:t>
      </w:r>
      <w:r w:rsidRPr="009C109B">
        <w:rPr>
          <w:rFonts w:asciiTheme="minorHAnsi" w:hAnsiTheme="minorHAnsi"/>
          <w:sz w:val="24"/>
          <w:szCs w:val="24"/>
        </w:rPr>
        <w:t xml:space="preserve">institutions or continuing the trend of mass redundancies </w:t>
      </w:r>
      <w:r w:rsidR="00CD5212" w:rsidRPr="009C109B">
        <w:rPr>
          <w:rFonts w:asciiTheme="minorHAnsi" w:hAnsiTheme="minorHAnsi"/>
          <w:sz w:val="24"/>
          <w:szCs w:val="24"/>
        </w:rPr>
        <w:t xml:space="preserve">and/or course closures </w:t>
      </w:r>
      <w:r w:rsidRPr="009C109B">
        <w:rPr>
          <w:rFonts w:asciiTheme="minorHAnsi" w:hAnsiTheme="minorHAnsi"/>
          <w:sz w:val="24"/>
          <w:szCs w:val="24"/>
        </w:rPr>
        <w:t>in the sector will be totally counterproductive in this context and will detrimentally impact economic growth at a time when universities play an increasingly vital role in their local communities and economies.</w:t>
      </w:r>
    </w:p>
    <w:p w14:paraId="777209D3" w14:textId="77777777" w:rsidR="007A0A16" w:rsidRPr="006C29C0" w:rsidRDefault="007A0A16" w:rsidP="009C109B">
      <w:pPr>
        <w:rPr>
          <w:rFonts w:asciiTheme="minorHAnsi" w:hAnsiTheme="minorHAnsi"/>
          <w:sz w:val="24"/>
          <w:szCs w:val="24"/>
        </w:rPr>
      </w:pPr>
    </w:p>
    <w:p w14:paraId="07C8CFD7" w14:textId="74724F4B" w:rsidR="00390A7E" w:rsidRDefault="007A0A16" w:rsidP="009C109B">
      <w:pPr>
        <w:rPr>
          <w:rFonts w:asciiTheme="minorHAnsi" w:hAnsiTheme="minorHAnsi"/>
          <w:sz w:val="24"/>
          <w:szCs w:val="24"/>
        </w:rPr>
      </w:pPr>
      <w:r w:rsidRPr="006C29C0">
        <w:rPr>
          <w:rFonts w:asciiTheme="minorHAnsi" w:hAnsiTheme="minorHAnsi"/>
          <w:sz w:val="24"/>
          <w:szCs w:val="24"/>
        </w:rPr>
        <w:t xml:space="preserve">We expect UCEA to work with their members to develop realistic plans for the restoration of </w:t>
      </w:r>
      <w:proofErr w:type="gramStart"/>
      <w:r w:rsidRPr="006C29C0">
        <w:rPr>
          <w:rFonts w:asciiTheme="minorHAnsi" w:hAnsiTheme="minorHAnsi"/>
          <w:sz w:val="24"/>
          <w:szCs w:val="24"/>
        </w:rPr>
        <w:t>real-terms</w:t>
      </w:r>
      <w:proofErr w:type="gramEnd"/>
      <w:r w:rsidRPr="006C29C0">
        <w:rPr>
          <w:rFonts w:asciiTheme="minorHAnsi" w:hAnsiTheme="minorHAnsi"/>
          <w:sz w:val="24"/>
          <w:szCs w:val="24"/>
        </w:rPr>
        <w:t xml:space="preserve"> pay levels</w:t>
      </w:r>
      <w:r w:rsidR="007B45FB" w:rsidRPr="006C29C0">
        <w:rPr>
          <w:rFonts w:asciiTheme="minorHAnsi" w:hAnsiTheme="minorHAnsi"/>
          <w:sz w:val="24"/>
          <w:szCs w:val="24"/>
        </w:rPr>
        <w:t xml:space="preserve">. </w:t>
      </w:r>
      <w:r w:rsidR="00103818" w:rsidRPr="006C29C0">
        <w:rPr>
          <w:rFonts w:asciiTheme="minorHAnsi" w:hAnsiTheme="minorHAnsi"/>
          <w:sz w:val="24"/>
          <w:szCs w:val="24"/>
        </w:rPr>
        <w:t xml:space="preserve">We </w:t>
      </w:r>
      <w:r w:rsidR="007A24DC">
        <w:rPr>
          <w:rFonts w:asciiTheme="minorHAnsi" w:hAnsiTheme="minorHAnsi"/>
          <w:sz w:val="24"/>
          <w:szCs w:val="24"/>
        </w:rPr>
        <w:t>want to work</w:t>
      </w:r>
      <w:r w:rsidR="00103818" w:rsidRPr="006C29C0">
        <w:rPr>
          <w:rFonts w:asciiTheme="minorHAnsi" w:hAnsiTheme="minorHAnsi"/>
          <w:sz w:val="24"/>
          <w:szCs w:val="24"/>
        </w:rPr>
        <w:t xml:space="preserve"> with UCEA to address the issues affecting the higher education workforce and look forward to a positive response to our claim.</w:t>
      </w:r>
    </w:p>
    <w:p w14:paraId="7597577E" w14:textId="77777777" w:rsidR="00390A7E" w:rsidRDefault="00390A7E" w:rsidP="009C109B">
      <w:pPr>
        <w:rPr>
          <w:rFonts w:asciiTheme="minorHAnsi" w:hAnsiTheme="minorHAnsi"/>
          <w:sz w:val="24"/>
          <w:szCs w:val="24"/>
        </w:rPr>
      </w:pPr>
    </w:p>
    <w:p w14:paraId="22F842F6"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b/>
          <w:bCs/>
          <w:sz w:val="24"/>
          <w:szCs w:val="24"/>
          <w14:ligatures w14:val="none"/>
        </w:rPr>
        <w:t>Joint Higher Education Unions Heads of Claim 2025/6</w:t>
      </w:r>
    </w:p>
    <w:p w14:paraId="292D8B12"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533CF1C0"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We are seeking the restoration of our members’ lost pay.  Below inflation pay rises over the past decade have resulted in members’ losing up to 30% of the value of their pay.</w:t>
      </w:r>
    </w:p>
    <w:p w14:paraId="64134623"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5276A26D" w14:textId="77777777" w:rsidR="00616C02" w:rsidRPr="00616C02" w:rsidRDefault="00616C02" w:rsidP="009C109B">
      <w:pPr>
        <w:numPr>
          <w:ilvl w:val="0"/>
          <w:numId w:val="14"/>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We are calling on UCEA for:</w:t>
      </w:r>
    </w:p>
    <w:p w14:paraId="2C421726"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7E7EE7B0" w14:textId="77777777" w:rsidR="00616C02" w:rsidRPr="00616C02" w:rsidRDefault="00616C02" w:rsidP="009C109B">
      <w:pPr>
        <w:numPr>
          <w:ilvl w:val="1"/>
          <w:numId w:val="15"/>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 xml:space="preserve">an increase on all pay points of at least RPI (as </w:t>
      </w:r>
      <w:proofErr w:type="gramStart"/>
      <w:r w:rsidRPr="00616C02">
        <w:rPr>
          <w:rFonts w:asciiTheme="minorHAnsi" w:eastAsia="Times New Roman" w:hAnsiTheme="minorHAnsi" w:cs="Calibri"/>
          <w:sz w:val="24"/>
          <w:szCs w:val="24"/>
          <w14:ligatures w14:val="none"/>
        </w:rPr>
        <w:t>at</w:t>
      </w:r>
      <w:proofErr w:type="gramEnd"/>
      <w:r w:rsidRPr="00616C02">
        <w:rPr>
          <w:rFonts w:asciiTheme="minorHAnsi" w:eastAsia="Times New Roman" w:hAnsiTheme="minorHAnsi" w:cs="Calibri"/>
          <w:sz w:val="24"/>
          <w:szCs w:val="24"/>
          <w14:ligatures w14:val="none"/>
        </w:rPr>
        <w:t xml:space="preserve"> August 2025) + 3.5%, or a flat rate increase on each spine point of at least £2,500 (whichever is greater)</w:t>
      </w:r>
    </w:p>
    <w:p w14:paraId="658B57CD" w14:textId="77777777" w:rsidR="00616C02" w:rsidRPr="00616C02" w:rsidRDefault="00616C02" w:rsidP="009C109B">
      <w:pPr>
        <w:numPr>
          <w:ilvl w:val="1"/>
          <w:numId w:val="15"/>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Equivalent percentage rises to London Weighting and any other allowances</w:t>
      </w:r>
    </w:p>
    <w:p w14:paraId="2DB43FE5" w14:textId="77777777" w:rsidR="00616C02" w:rsidRPr="00616C02" w:rsidRDefault="00616C02" w:rsidP="009C109B">
      <w:pPr>
        <w:numPr>
          <w:ilvl w:val="1"/>
          <w:numId w:val="15"/>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 xml:space="preserve">A new minimum pay rate of £15 an hour. </w:t>
      </w:r>
    </w:p>
    <w:p w14:paraId="770407A9" w14:textId="77777777" w:rsidR="00616C02" w:rsidRPr="00616C02" w:rsidRDefault="00616C02" w:rsidP="009C109B">
      <w:pPr>
        <w:numPr>
          <w:ilvl w:val="1"/>
          <w:numId w:val="15"/>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 xml:space="preserve">All institutions to become Foundation Living Wage employers and for all pay points below the FLW to be deleted. </w:t>
      </w:r>
    </w:p>
    <w:p w14:paraId="70A6C591" w14:textId="77777777" w:rsidR="00616C02" w:rsidRPr="00616C02" w:rsidRDefault="00616C02" w:rsidP="009C109B">
      <w:pPr>
        <w:numPr>
          <w:ilvl w:val="1"/>
          <w:numId w:val="15"/>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A commitment to an urgent and comprehensive reform of the New JNCHES pay spine.</w:t>
      </w:r>
    </w:p>
    <w:p w14:paraId="48F65086"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2C7C0078" w14:textId="77777777" w:rsidR="00616C02" w:rsidRPr="00616C02" w:rsidRDefault="00616C02" w:rsidP="009C109B">
      <w:pPr>
        <w:numPr>
          <w:ilvl w:val="0"/>
          <w:numId w:val="16"/>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To restore the offer from 2024/5 to develop joint agreements on workload, contract types/casualisation, pay spine reform, and tackling the gender, disability and ethnicity pay gaps using the previous jointly agreed terms of reference.</w:t>
      </w:r>
    </w:p>
    <w:p w14:paraId="2C2AC2A1"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7F795574"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xml:space="preserve">The recent increases in the national Living Wage have made the need for pay spine reform in the sector even more urgent and we are calling on UCEA to re-convene the </w:t>
      </w:r>
      <w:r w:rsidRPr="00616C02">
        <w:rPr>
          <w:rFonts w:asciiTheme="minorHAnsi" w:eastAsia="Calibri" w:hAnsiTheme="minorHAnsi" w:cs="Calibri"/>
          <w:sz w:val="24"/>
          <w:szCs w:val="24"/>
          <w14:ligatures w14:val="none"/>
        </w:rPr>
        <w:lastRenderedPageBreak/>
        <w:t>previously agreed pay spine review working group at the earliest opportunity with a view to include recommendations that can be in place from August 2025.</w:t>
      </w:r>
    </w:p>
    <w:p w14:paraId="6CD04178"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0C6C7C07" w14:textId="57234554" w:rsidR="00616C02" w:rsidRPr="00616C02" w:rsidRDefault="009C109B" w:rsidP="009C109B">
      <w:pPr>
        <w:rPr>
          <w:rFonts w:asciiTheme="minorHAnsi" w:eastAsia="Calibri" w:hAnsiTheme="minorHAnsi" w:cs="Calibri"/>
          <w:sz w:val="24"/>
          <w:szCs w:val="24"/>
          <w14:ligatures w14:val="none"/>
        </w:rPr>
      </w:pPr>
      <w:r>
        <w:rPr>
          <w:rFonts w:asciiTheme="minorHAnsi" w:eastAsia="Calibri" w:hAnsiTheme="minorHAnsi" w:cs="Calibri"/>
          <w:sz w:val="24"/>
          <w:szCs w:val="24"/>
          <w14:ligatures w14:val="none"/>
        </w:rPr>
        <w:t>We call on UCEA to a</w:t>
      </w:r>
      <w:r w:rsidR="00616C02" w:rsidRPr="00616C02">
        <w:rPr>
          <w:rFonts w:asciiTheme="minorHAnsi" w:eastAsia="Calibri" w:hAnsiTheme="minorHAnsi" w:cs="Calibri"/>
          <w:sz w:val="24"/>
          <w:szCs w:val="24"/>
          <w14:ligatures w14:val="none"/>
        </w:rPr>
        <w:t>gree to take forward the other areas of joint work discussed as part of the 2024-25 pay negotiating round, included in the UCEA pay offer for 2024-5 and then withdrawn by UCEA; gender inequalities in pension provision, a Green New Deal and Just Transition, the migrant salary threshold/ associated visa costs and on term time only contracts.</w:t>
      </w:r>
    </w:p>
    <w:p w14:paraId="38DECD85"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567F2AE7"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The unions also call on UCEA to undertake further joint work to avoid redundancies, course closures, and cuts to academic disciplines across the sector, and to lobby politically for a sustainable long term funding settlement for the sector.</w:t>
      </w:r>
    </w:p>
    <w:p w14:paraId="679DB39C"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280063C1" w14:textId="1FD46BF5"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xml:space="preserve">The trade union claim will also call on UCEA </w:t>
      </w:r>
      <w:proofErr w:type="gramStart"/>
      <w:r w:rsidRPr="00616C02">
        <w:rPr>
          <w:rFonts w:asciiTheme="minorHAnsi" w:eastAsia="Calibri" w:hAnsiTheme="minorHAnsi" w:cs="Calibri"/>
          <w:sz w:val="24"/>
          <w:szCs w:val="24"/>
          <w14:ligatures w14:val="none"/>
        </w:rPr>
        <w:t>to;</w:t>
      </w:r>
      <w:proofErr w:type="gramEnd"/>
    </w:p>
    <w:p w14:paraId="31FFB529"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39D5BBC3" w14:textId="77777777" w:rsidR="00616C02" w:rsidRPr="00616C02" w:rsidRDefault="00616C02" w:rsidP="009C109B">
      <w:pPr>
        <w:numPr>
          <w:ilvl w:val="0"/>
          <w:numId w:val="17"/>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Recommend that institutions move all staff onto a 35-hour week, with no loss in pay, to be implemented at institutional level.</w:t>
      </w:r>
    </w:p>
    <w:p w14:paraId="579107D2" w14:textId="77777777" w:rsidR="00616C02" w:rsidRPr="00616C02" w:rsidRDefault="00616C02"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w:t>
      </w:r>
    </w:p>
    <w:p w14:paraId="71E5F746" w14:textId="77777777" w:rsidR="00616C02" w:rsidRPr="00616C02" w:rsidRDefault="00616C02" w:rsidP="009C109B">
      <w:pPr>
        <w:numPr>
          <w:ilvl w:val="0"/>
          <w:numId w:val="18"/>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 xml:space="preserve">Commit to the protection of national agreements relating to terms and conditions of employment including the </w:t>
      </w:r>
      <w:proofErr w:type="gramStart"/>
      <w:r w:rsidRPr="00616C02">
        <w:rPr>
          <w:rFonts w:asciiTheme="minorHAnsi" w:eastAsia="Times New Roman" w:hAnsiTheme="minorHAnsi" w:cs="Calibri"/>
          <w:sz w:val="24"/>
          <w:szCs w:val="24"/>
          <w14:ligatures w14:val="none"/>
        </w:rPr>
        <w:t>Post-92</w:t>
      </w:r>
      <w:proofErr w:type="gramEnd"/>
      <w:r w:rsidRPr="00616C02">
        <w:rPr>
          <w:rFonts w:asciiTheme="minorHAnsi" w:eastAsia="Times New Roman" w:hAnsiTheme="minorHAnsi" w:cs="Calibri"/>
          <w:sz w:val="24"/>
          <w:szCs w:val="24"/>
          <w14:ligatures w14:val="none"/>
        </w:rPr>
        <w:t xml:space="preserve"> national contract and HE2000.</w:t>
      </w:r>
    </w:p>
    <w:p w14:paraId="1E4C3F87" w14:textId="77777777" w:rsidR="00616C02" w:rsidRPr="00616C02" w:rsidRDefault="00616C02" w:rsidP="009C109B">
      <w:pPr>
        <w:rPr>
          <w:rFonts w:asciiTheme="minorHAnsi" w:eastAsia="Calibri" w:hAnsiTheme="minorHAnsi" w:cs="Calibri"/>
          <w:sz w:val="24"/>
          <w:szCs w:val="24"/>
          <w14:ligatures w14:val="none"/>
        </w:rPr>
      </w:pPr>
    </w:p>
    <w:p w14:paraId="6E2DE4B3" w14:textId="77777777" w:rsidR="00616C02" w:rsidRPr="00616C02" w:rsidRDefault="00616C02" w:rsidP="009C109B">
      <w:pPr>
        <w:numPr>
          <w:ilvl w:val="0"/>
          <w:numId w:val="18"/>
        </w:numPr>
        <w:rPr>
          <w:rFonts w:asciiTheme="minorHAnsi" w:eastAsia="Times New Roman" w:hAnsiTheme="minorHAnsi" w:cs="Calibri"/>
          <w:sz w:val="24"/>
          <w:szCs w:val="24"/>
          <w14:ligatures w14:val="none"/>
        </w:rPr>
      </w:pPr>
      <w:r w:rsidRPr="00616C02">
        <w:rPr>
          <w:rFonts w:asciiTheme="minorHAnsi" w:eastAsia="Times New Roman" w:hAnsiTheme="minorHAnsi" w:cs="Calibri"/>
          <w:sz w:val="24"/>
          <w:szCs w:val="24"/>
          <w14:ligatures w14:val="none"/>
        </w:rPr>
        <w:t>Establish the Scottish sub-committee of New JNCHES as set out under the New JNCHES agreement.</w:t>
      </w:r>
    </w:p>
    <w:p w14:paraId="71AB8BE1" w14:textId="77777777" w:rsidR="00616C02" w:rsidRPr="00616C02" w:rsidRDefault="00616C02" w:rsidP="009C109B">
      <w:pPr>
        <w:ind w:left="720"/>
        <w:rPr>
          <w:rFonts w:asciiTheme="minorHAnsi" w:eastAsia="Calibri" w:hAnsiTheme="minorHAnsi" w:cs="Calibri"/>
          <w:sz w:val="24"/>
          <w:szCs w:val="24"/>
          <w14:ligatures w14:val="none"/>
        </w:rPr>
      </w:pPr>
    </w:p>
    <w:p w14:paraId="5D222375" w14:textId="77777777" w:rsidR="00616C02" w:rsidRPr="00616C02" w:rsidRDefault="00616C02" w:rsidP="009C109B">
      <w:pPr>
        <w:pStyle w:val="Bodycopy"/>
        <w:keepNext w:val="0"/>
        <w:numPr>
          <w:ilvl w:val="0"/>
          <w:numId w:val="19"/>
        </w:numPr>
        <w:textAlignment w:val="auto"/>
        <w:rPr>
          <w:rFonts w:asciiTheme="minorHAnsi" w:hAnsiTheme="minorHAnsi"/>
          <w:sz w:val="24"/>
          <w:szCs w:val="24"/>
        </w:rPr>
      </w:pPr>
      <w:r w:rsidRPr="00616C02">
        <w:rPr>
          <w:rFonts w:asciiTheme="minorHAnsi" w:eastAsia="Times New Roman" w:hAnsiTheme="minorHAnsi" w:cs="Calibri"/>
          <w:color w:val="auto"/>
          <w:kern w:val="0"/>
          <w:sz w:val="24"/>
          <w:szCs w:val="24"/>
          <w:lang w:eastAsia="en-GB"/>
          <w14:ligatures w14:val="none"/>
        </w:rPr>
        <w:t>Call upon universities to reimburse all visa application and application-adjacent fees for migrant workers and ensure that the pay spine is appropriate for the new government-mandated pay thresholds for skilled worker visas.</w:t>
      </w:r>
    </w:p>
    <w:p w14:paraId="71D9DF9A" w14:textId="14E2DA72" w:rsidR="007A0A16" w:rsidRPr="006C29C0" w:rsidRDefault="007A0A16" w:rsidP="009C109B">
      <w:pPr>
        <w:spacing w:after="160" w:line="259" w:lineRule="auto"/>
        <w:rPr>
          <w:rFonts w:asciiTheme="minorHAnsi" w:hAnsiTheme="minorHAnsi"/>
          <w:b/>
          <w:bCs/>
          <w:sz w:val="24"/>
          <w:szCs w:val="24"/>
          <w:u w:val="single"/>
        </w:rPr>
      </w:pPr>
      <w:r w:rsidRPr="006C29C0">
        <w:rPr>
          <w:rFonts w:asciiTheme="minorHAnsi" w:hAnsiTheme="minorHAnsi"/>
          <w:b/>
          <w:bCs/>
          <w:sz w:val="24"/>
          <w:szCs w:val="24"/>
          <w:u w:val="single"/>
        </w:rPr>
        <w:br w:type="page"/>
      </w:r>
    </w:p>
    <w:p w14:paraId="49CB9CE4" w14:textId="3E44D631" w:rsidR="007A0A16" w:rsidRPr="006C29C0" w:rsidRDefault="007A0A16" w:rsidP="009C109B">
      <w:pPr>
        <w:rPr>
          <w:rFonts w:asciiTheme="minorHAnsi" w:hAnsiTheme="minorHAnsi"/>
          <w:b/>
          <w:bCs/>
          <w:sz w:val="24"/>
          <w:szCs w:val="24"/>
          <w:u w:val="single"/>
        </w:rPr>
      </w:pPr>
      <w:r w:rsidRPr="006C29C0">
        <w:rPr>
          <w:rFonts w:asciiTheme="minorHAnsi" w:hAnsiTheme="minorHAnsi"/>
          <w:b/>
          <w:bCs/>
          <w:sz w:val="24"/>
          <w:szCs w:val="24"/>
          <w:u w:val="single"/>
        </w:rPr>
        <w:lastRenderedPageBreak/>
        <w:t>Pay</w:t>
      </w:r>
    </w:p>
    <w:p w14:paraId="234EBCF5" w14:textId="77777777" w:rsidR="007A0A16" w:rsidRPr="006C29C0" w:rsidRDefault="007A0A16" w:rsidP="009C109B">
      <w:pPr>
        <w:rPr>
          <w:rFonts w:asciiTheme="minorHAnsi" w:hAnsiTheme="minorHAnsi"/>
          <w:b/>
          <w:bCs/>
          <w:sz w:val="24"/>
          <w:szCs w:val="24"/>
          <w:u w:val="single"/>
        </w:rPr>
      </w:pPr>
    </w:p>
    <w:p w14:paraId="1EB3CC96" w14:textId="4E812AC8" w:rsidR="007A0A16" w:rsidRPr="006C29C0" w:rsidRDefault="00F07D3D" w:rsidP="009C109B">
      <w:pPr>
        <w:rPr>
          <w:rFonts w:asciiTheme="minorHAnsi" w:hAnsiTheme="minorHAnsi"/>
          <w:sz w:val="24"/>
          <w:szCs w:val="24"/>
        </w:rPr>
      </w:pPr>
      <w:r w:rsidRPr="006C29C0">
        <w:rPr>
          <w:rFonts w:asciiTheme="minorHAnsi" w:hAnsiTheme="minorHAnsi"/>
          <w:sz w:val="24"/>
          <w:szCs w:val="24"/>
        </w:rPr>
        <w:t xml:space="preserve">We are seeking an increase in pay that restores pay levels lost to the recent spike in inflation. </w:t>
      </w:r>
      <w:r w:rsidR="007A0A16" w:rsidRPr="006C29C0">
        <w:rPr>
          <w:rFonts w:asciiTheme="minorHAnsi" w:hAnsiTheme="minorHAnsi"/>
          <w:sz w:val="24"/>
          <w:szCs w:val="24"/>
        </w:rPr>
        <w:t xml:space="preserve"> </w:t>
      </w:r>
      <w:r w:rsidR="00A20AFB" w:rsidRPr="006C29C0">
        <w:rPr>
          <w:rFonts w:asciiTheme="minorHAnsi" w:hAnsiTheme="minorHAnsi"/>
          <w:sz w:val="24"/>
          <w:szCs w:val="24"/>
        </w:rPr>
        <w:t>In addition, we are seeking a flat rate incre</w:t>
      </w:r>
      <w:r w:rsidR="00885600" w:rsidRPr="006C29C0">
        <w:rPr>
          <w:rFonts w:asciiTheme="minorHAnsi" w:hAnsiTheme="minorHAnsi"/>
          <w:sz w:val="24"/>
          <w:szCs w:val="24"/>
        </w:rPr>
        <w:t>ase of at least £2,500 for lower paid workers to compensate them for the additional inflation pressures that they have faced and to tackle low pay in the higher education sector</w:t>
      </w:r>
      <w:r w:rsidR="007A0A16" w:rsidRPr="006C29C0">
        <w:rPr>
          <w:rFonts w:asciiTheme="minorHAnsi" w:hAnsiTheme="minorHAnsi"/>
          <w:sz w:val="24"/>
          <w:szCs w:val="24"/>
        </w:rPr>
        <w:t>.</w:t>
      </w:r>
    </w:p>
    <w:p w14:paraId="72BC5834" w14:textId="77777777" w:rsidR="007A0A16" w:rsidRPr="006C29C0" w:rsidRDefault="007A0A16" w:rsidP="009C109B">
      <w:pPr>
        <w:rPr>
          <w:rFonts w:asciiTheme="minorHAnsi" w:hAnsiTheme="minorHAnsi"/>
          <w:sz w:val="24"/>
          <w:szCs w:val="24"/>
        </w:rPr>
      </w:pPr>
    </w:p>
    <w:p w14:paraId="3E90A832" w14:textId="0D72867C" w:rsidR="007A0A16" w:rsidRPr="006C29C0" w:rsidRDefault="007A0A16" w:rsidP="009C109B">
      <w:pPr>
        <w:rPr>
          <w:rFonts w:asciiTheme="minorHAnsi" w:hAnsiTheme="minorHAnsi"/>
          <w:sz w:val="24"/>
          <w:szCs w:val="24"/>
        </w:rPr>
      </w:pPr>
      <w:r w:rsidRPr="006C29C0">
        <w:rPr>
          <w:rFonts w:asciiTheme="minorHAnsi" w:hAnsiTheme="minorHAnsi"/>
          <w:sz w:val="24"/>
          <w:szCs w:val="24"/>
        </w:rPr>
        <w:t>We demand:</w:t>
      </w:r>
    </w:p>
    <w:p w14:paraId="313AD684" w14:textId="77777777" w:rsidR="006654DE" w:rsidRPr="006C29C0" w:rsidRDefault="006654DE" w:rsidP="009C109B">
      <w:pPr>
        <w:rPr>
          <w:rFonts w:asciiTheme="minorHAnsi" w:hAnsiTheme="minorHAnsi"/>
          <w:sz w:val="24"/>
          <w:szCs w:val="24"/>
        </w:rPr>
      </w:pPr>
    </w:p>
    <w:p w14:paraId="4E914FD1" w14:textId="57425668" w:rsidR="007A0A16" w:rsidRPr="006C29C0" w:rsidRDefault="007A0A16" w:rsidP="009C109B">
      <w:pPr>
        <w:pStyle w:val="ListParagraph"/>
        <w:numPr>
          <w:ilvl w:val="0"/>
          <w:numId w:val="8"/>
        </w:numPr>
        <w:rPr>
          <w:sz w:val="24"/>
          <w:szCs w:val="24"/>
        </w:rPr>
      </w:pPr>
      <w:r w:rsidRPr="006C29C0">
        <w:rPr>
          <w:sz w:val="24"/>
          <w:szCs w:val="24"/>
        </w:rPr>
        <w:t xml:space="preserve">an increase on all pay points of at least RPI + </w:t>
      </w:r>
      <w:r w:rsidR="00462C8B" w:rsidRPr="006C29C0">
        <w:rPr>
          <w:sz w:val="24"/>
          <w:szCs w:val="24"/>
        </w:rPr>
        <w:t>3.5</w:t>
      </w:r>
      <w:r w:rsidRPr="006C29C0">
        <w:rPr>
          <w:sz w:val="24"/>
          <w:szCs w:val="24"/>
        </w:rPr>
        <w:t>% or a flat rate of at least £2,500 (whichever is greater) and a commitment to restore lost pay.</w:t>
      </w:r>
    </w:p>
    <w:p w14:paraId="37AFF3F8" w14:textId="67F30662" w:rsidR="007A0A16" w:rsidRPr="006C29C0" w:rsidRDefault="007A0A16" w:rsidP="009C109B">
      <w:pPr>
        <w:pStyle w:val="ListParagraph"/>
        <w:numPr>
          <w:ilvl w:val="0"/>
          <w:numId w:val="8"/>
        </w:numPr>
        <w:rPr>
          <w:sz w:val="24"/>
          <w:szCs w:val="24"/>
        </w:rPr>
      </w:pPr>
      <w:r w:rsidRPr="006C29C0">
        <w:rPr>
          <w:sz w:val="24"/>
          <w:szCs w:val="24"/>
        </w:rPr>
        <w:t>Equivalent rises to London Weighting and any other allowances</w:t>
      </w:r>
      <w:r w:rsidR="005E42B3">
        <w:rPr>
          <w:sz w:val="24"/>
          <w:szCs w:val="24"/>
        </w:rPr>
        <w:t>.</w:t>
      </w:r>
    </w:p>
    <w:p w14:paraId="742F5246" w14:textId="77777777" w:rsidR="007A0A16" w:rsidRPr="006C29C0" w:rsidRDefault="007A0A16" w:rsidP="009C109B">
      <w:pPr>
        <w:pStyle w:val="ListParagraph"/>
        <w:numPr>
          <w:ilvl w:val="0"/>
          <w:numId w:val="8"/>
        </w:numPr>
        <w:rPr>
          <w:sz w:val="24"/>
          <w:szCs w:val="24"/>
        </w:rPr>
      </w:pPr>
      <w:r w:rsidRPr="006C29C0">
        <w:rPr>
          <w:sz w:val="24"/>
          <w:szCs w:val="24"/>
        </w:rPr>
        <w:t xml:space="preserve">A new minimum pay rate of £15 an hour. </w:t>
      </w:r>
    </w:p>
    <w:p w14:paraId="567437D2" w14:textId="77777777" w:rsidR="007A0A16" w:rsidRPr="006C29C0" w:rsidRDefault="007A0A16" w:rsidP="009C109B">
      <w:pPr>
        <w:pStyle w:val="ListParagraph"/>
        <w:numPr>
          <w:ilvl w:val="0"/>
          <w:numId w:val="8"/>
        </w:numPr>
        <w:rPr>
          <w:sz w:val="24"/>
          <w:szCs w:val="24"/>
        </w:rPr>
      </w:pPr>
      <w:r w:rsidRPr="006C29C0">
        <w:rPr>
          <w:sz w:val="24"/>
          <w:szCs w:val="24"/>
        </w:rPr>
        <w:t xml:space="preserve">All institutions to become Foundation Living Wage employers and pay points below the FLW to be deleted. </w:t>
      </w:r>
    </w:p>
    <w:p w14:paraId="438E5ED0" w14:textId="577EF4FB" w:rsidR="007A0A16" w:rsidRPr="006C29C0" w:rsidRDefault="007A0A16" w:rsidP="009C109B">
      <w:pPr>
        <w:pStyle w:val="ListParagraph"/>
        <w:numPr>
          <w:ilvl w:val="0"/>
          <w:numId w:val="8"/>
        </w:numPr>
        <w:rPr>
          <w:sz w:val="24"/>
          <w:szCs w:val="24"/>
        </w:rPr>
      </w:pPr>
      <w:r w:rsidRPr="006C29C0">
        <w:rPr>
          <w:sz w:val="24"/>
          <w:szCs w:val="24"/>
        </w:rPr>
        <w:t>UCEA commit</w:t>
      </w:r>
      <w:r w:rsidR="00462C8B" w:rsidRPr="006C29C0">
        <w:rPr>
          <w:sz w:val="24"/>
          <w:szCs w:val="24"/>
        </w:rPr>
        <w:t>ting</w:t>
      </w:r>
      <w:r w:rsidRPr="006C29C0">
        <w:rPr>
          <w:sz w:val="24"/>
          <w:szCs w:val="24"/>
        </w:rPr>
        <w:t xml:space="preserve"> to a comprehensive reform of the pay spine.</w:t>
      </w:r>
    </w:p>
    <w:p w14:paraId="106ABC2C" w14:textId="21DFE4BC" w:rsidR="00EF7F96" w:rsidRPr="002F67C3" w:rsidRDefault="00EF7F96" w:rsidP="009C109B">
      <w:pPr>
        <w:spacing w:line="259" w:lineRule="auto"/>
        <w:rPr>
          <w:rFonts w:asciiTheme="minorHAnsi" w:hAnsiTheme="minorHAnsi" w:cs="Arial"/>
          <w:sz w:val="24"/>
          <w:szCs w:val="24"/>
        </w:rPr>
      </w:pPr>
    </w:p>
    <w:p w14:paraId="5850F049" w14:textId="7B8F05E8" w:rsidR="003A1142" w:rsidRPr="002F67C3" w:rsidRDefault="00FA22CE" w:rsidP="009C109B">
      <w:pPr>
        <w:spacing w:line="259" w:lineRule="auto"/>
        <w:rPr>
          <w:rFonts w:asciiTheme="minorHAnsi" w:hAnsiTheme="minorHAnsi" w:cs="Arial"/>
          <w:sz w:val="24"/>
          <w:szCs w:val="24"/>
        </w:rPr>
      </w:pPr>
      <w:r w:rsidRPr="002F67C3">
        <w:rPr>
          <w:rFonts w:asciiTheme="minorHAnsi" w:hAnsiTheme="minorHAnsi" w:cs="Arial"/>
          <w:sz w:val="24"/>
          <w:szCs w:val="24"/>
        </w:rPr>
        <w:t>The Joint Trade Unions expect a pay offer to be made as early in the process as possible and no later than the second negotiating meeting of the New JNCHES forum.</w:t>
      </w:r>
    </w:p>
    <w:p w14:paraId="62F3DAFC" w14:textId="77777777" w:rsidR="00FA22CE" w:rsidRPr="00192B85" w:rsidRDefault="00FA22CE" w:rsidP="009C109B">
      <w:pPr>
        <w:spacing w:line="259" w:lineRule="auto"/>
        <w:rPr>
          <w:rFonts w:asciiTheme="minorHAnsi" w:hAnsiTheme="minorHAnsi" w:cs="Arial"/>
          <w:sz w:val="24"/>
          <w:szCs w:val="24"/>
        </w:rPr>
      </w:pPr>
    </w:p>
    <w:p w14:paraId="5C26A1D3" w14:textId="5F77C26D" w:rsidR="0031669A" w:rsidRPr="006C29C0" w:rsidRDefault="00E37B05" w:rsidP="009C109B">
      <w:pPr>
        <w:rPr>
          <w:rFonts w:asciiTheme="minorHAnsi" w:hAnsiTheme="minorHAnsi" w:cs="Arial"/>
          <w:b/>
          <w:bCs/>
          <w:sz w:val="24"/>
          <w:szCs w:val="24"/>
        </w:rPr>
      </w:pPr>
      <w:r w:rsidRPr="006C29C0">
        <w:rPr>
          <w:rFonts w:asciiTheme="minorHAnsi" w:hAnsiTheme="minorHAnsi" w:cs="Arial"/>
          <w:b/>
          <w:bCs/>
          <w:sz w:val="24"/>
          <w:szCs w:val="24"/>
        </w:rPr>
        <w:t>Falling value of pay</w:t>
      </w:r>
    </w:p>
    <w:p w14:paraId="63676D7F" w14:textId="3C8934F3" w:rsidR="008C51E9" w:rsidRPr="006C29C0" w:rsidRDefault="008C51E9" w:rsidP="009C109B">
      <w:pPr>
        <w:pStyle w:val="Bodycopy"/>
        <w:keepNext w:val="0"/>
        <w:spacing w:before="120" w:after="120" w:line="276" w:lineRule="auto"/>
        <w:rPr>
          <w:rFonts w:asciiTheme="minorHAnsi" w:hAnsiTheme="minorHAnsi" w:cs="Arial"/>
          <w:color w:val="auto"/>
          <w:sz w:val="24"/>
          <w:szCs w:val="24"/>
        </w:rPr>
      </w:pPr>
      <w:r w:rsidRPr="006C29C0">
        <w:rPr>
          <w:rFonts w:asciiTheme="minorHAnsi" w:hAnsiTheme="minorHAnsi" w:cs="Arial"/>
          <w:color w:val="auto"/>
          <w:sz w:val="24"/>
          <w:szCs w:val="24"/>
        </w:rPr>
        <w:t>Recent years have seen the steepest rises in the cost of living facing workers in over 40 years</w:t>
      </w:r>
      <w:r w:rsidR="00F27B4D" w:rsidRPr="006C29C0">
        <w:rPr>
          <w:rFonts w:asciiTheme="minorHAnsi" w:hAnsiTheme="minorHAnsi" w:cs="Arial"/>
          <w:color w:val="auto"/>
          <w:sz w:val="24"/>
          <w:szCs w:val="24"/>
        </w:rPr>
        <w:t xml:space="preserve">, hitting </w:t>
      </w:r>
      <w:r w:rsidRPr="006C29C0">
        <w:rPr>
          <w:rFonts w:asciiTheme="minorHAnsi" w:hAnsiTheme="minorHAnsi" w:cs="Arial"/>
          <w:color w:val="auto"/>
          <w:sz w:val="24"/>
          <w:szCs w:val="24"/>
        </w:rPr>
        <w:t>11.6% in 2022 and 9.7% in 2023</w:t>
      </w:r>
      <w:r w:rsidRPr="006C29C0">
        <w:rPr>
          <w:rStyle w:val="FootnoteReference"/>
          <w:rFonts w:asciiTheme="minorHAnsi" w:hAnsiTheme="minorHAnsi" w:cs="Arial"/>
          <w:color w:val="auto"/>
          <w:sz w:val="24"/>
          <w:szCs w:val="24"/>
        </w:rPr>
        <w:footnoteReference w:id="1"/>
      </w:r>
      <w:r w:rsidRPr="006C29C0">
        <w:rPr>
          <w:rFonts w:asciiTheme="minorHAnsi" w:hAnsiTheme="minorHAnsi" w:cs="Arial"/>
          <w:color w:val="auto"/>
          <w:sz w:val="24"/>
          <w:szCs w:val="24"/>
        </w:rPr>
        <w:t xml:space="preserve">. </w:t>
      </w:r>
    </w:p>
    <w:p w14:paraId="159126D1" w14:textId="3A832D71" w:rsidR="00F27B4D" w:rsidRPr="006C29C0" w:rsidRDefault="00F27B4D" w:rsidP="009C109B">
      <w:pPr>
        <w:pStyle w:val="Bodycopy"/>
        <w:keepNext w:val="0"/>
        <w:spacing w:before="120" w:after="120" w:line="276" w:lineRule="auto"/>
        <w:rPr>
          <w:rFonts w:asciiTheme="minorHAnsi" w:hAnsiTheme="minorHAnsi" w:cs="Arial"/>
          <w:color w:val="auto"/>
          <w:sz w:val="24"/>
          <w:szCs w:val="24"/>
        </w:rPr>
      </w:pPr>
      <w:r w:rsidRPr="006C29C0">
        <w:rPr>
          <w:rFonts w:asciiTheme="minorHAnsi" w:hAnsiTheme="minorHAnsi" w:cs="Arial"/>
          <w:color w:val="auto"/>
          <w:sz w:val="24"/>
          <w:szCs w:val="24"/>
        </w:rPr>
        <w:t>The consequ</w:t>
      </w:r>
      <w:r w:rsidR="00995C28" w:rsidRPr="006C29C0">
        <w:rPr>
          <w:rFonts w:asciiTheme="minorHAnsi" w:hAnsiTheme="minorHAnsi" w:cs="Arial"/>
          <w:color w:val="auto"/>
          <w:sz w:val="24"/>
          <w:szCs w:val="24"/>
        </w:rPr>
        <w:t>e</w:t>
      </w:r>
      <w:r w:rsidRPr="006C29C0">
        <w:rPr>
          <w:rFonts w:asciiTheme="minorHAnsi" w:hAnsiTheme="minorHAnsi" w:cs="Arial"/>
          <w:color w:val="auto"/>
          <w:sz w:val="24"/>
          <w:szCs w:val="24"/>
        </w:rPr>
        <w:t xml:space="preserve">nces </w:t>
      </w:r>
      <w:r w:rsidR="00995C28" w:rsidRPr="006C29C0">
        <w:rPr>
          <w:rFonts w:asciiTheme="minorHAnsi" w:hAnsiTheme="minorHAnsi" w:cs="Arial"/>
          <w:color w:val="auto"/>
          <w:sz w:val="24"/>
          <w:szCs w:val="24"/>
        </w:rPr>
        <w:t>can be seen in the table below</w:t>
      </w:r>
      <w:r w:rsidR="00E77C12" w:rsidRPr="006C29C0">
        <w:rPr>
          <w:rFonts w:asciiTheme="minorHAnsi" w:hAnsiTheme="minorHAnsi" w:cs="Arial"/>
          <w:color w:val="auto"/>
          <w:sz w:val="24"/>
          <w:szCs w:val="24"/>
        </w:rPr>
        <w:t>,</w:t>
      </w:r>
      <w:r w:rsidR="00995C28" w:rsidRPr="006C29C0">
        <w:rPr>
          <w:rFonts w:asciiTheme="minorHAnsi" w:hAnsiTheme="minorHAnsi" w:cs="Arial"/>
          <w:color w:val="auto"/>
          <w:sz w:val="24"/>
          <w:szCs w:val="24"/>
        </w:rPr>
        <w:t xml:space="preserve"> showing </w:t>
      </w:r>
      <w:r w:rsidR="00AF08CA" w:rsidRPr="006C29C0">
        <w:rPr>
          <w:rFonts w:asciiTheme="minorHAnsi" w:hAnsiTheme="minorHAnsi" w:cs="Arial"/>
          <w:color w:val="auto"/>
          <w:sz w:val="24"/>
          <w:szCs w:val="24"/>
        </w:rPr>
        <w:t xml:space="preserve">the cut in the value of HE </w:t>
      </w:r>
      <w:proofErr w:type="gramStart"/>
      <w:r w:rsidR="00AF08CA" w:rsidRPr="006C29C0">
        <w:rPr>
          <w:rFonts w:asciiTheme="minorHAnsi" w:hAnsiTheme="minorHAnsi" w:cs="Arial"/>
          <w:color w:val="auto"/>
          <w:sz w:val="24"/>
          <w:szCs w:val="24"/>
        </w:rPr>
        <w:t>pay</w:t>
      </w:r>
      <w:proofErr w:type="gramEnd"/>
      <w:r w:rsidR="00AF08CA" w:rsidRPr="006C29C0">
        <w:rPr>
          <w:rFonts w:asciiTheme="minorHAnsi" w:hAnsiTheme="minorHAnsi" w:cs="Arial"/>
          <w:color w:val="auto"/>
          <w:sz w:val="24"/>
          <w:szCs w:val="24"/>
        </w:rPr>
        <w:t xml:space="preserve"> since 2020. </w:t>
      </w:r>
    </w:p>
    <w:p w14:paraId="4769072E" w14:textId="3FA86198" w:rsidR="006B6A02" w:rsidRPr="006C29C0" w:rsidRDefault="006B6A02" w:rsidP="009C109B">
      <w:pPr>
        <w:pStyle w:val="Bodycopy"/>
        <w:keepNext w:val="0"/>
        <w:spacing w:before="120" w:after="120" w:line="276" w:lineRule="auto"/>
        <w:rPr>
          <w:rFonts w:asciiTheme="minorHAnsi" w:hAnsiTheme="minorHAnsi" w:cs="Arial"/>
          <w:color w:val="auto"/>
          <w:sz w:val="24"/>
          <w:szCs w:val="24"/>
        </w:rPr>
      </w:pPr>
      <w:r w:rsidRPr="006C29C0">
        <w:rPr>
          <w:rFonts w:asciiTheme="minorHAnsi" w:hAnsiTheme="minorHAnsi"/>
          <w:noProof/>
          <w:color w:val="auto"/>
          <w:sz w:val="24"/>
          <w:szCs w:val="24"/>
        </w:rPr>
        <w:drawing>
          <wp:inline distT="0" distB="0" distL="0" distR="0" wp14:anchorId="39B4DC69" wp14:editId="7B90B760">
            <wp:extent cx="4572000" cy="2743200"/>
            <wp:effectExtent l="0" t="0" r="0" b="0"/>
            <wp:docPr id="1066790434" name="Chart 1">
              <a:extLst xmlns:a="http://schemas.openxmlformats.org/drawingml/2006/main">
                <a:ext uri="{FF2B5EF4-FFF2-40B4-BE49-F238E27FC236}">
                  <a16:creationId xmlns:a16="http://schemas.microsoft.com/office/drawing/2014/main" id="{6F537BFA-3EDB-F501-F39A-159CEE6C5B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9D205E" w14:textId="77777777" w:rsidR="00867592" w:rsidRPr="006C29C0" w:rsidRDefault="005A36ED" w:rsidP="009C109B">
      <w:pPr>
        <w:pStyle w:val="BodyTextIndent3"/>
        <w:spacing w:before="120" w:line="276" w:lineRule="auto"/>
        <w:ind w:left="0" w:firstLine="0"/>
        <w:rPr>
          <w:rFonts w:asciiTheme="minorHAnsi" w:hAnsiTheme="minorHAnsi" w:cs="Arial"/>
          <w:szCs w:val="24"/>
        </w:rPr>
      </w:pPr>
      <w:r w:rsidRPr="006C29C0">
        <w:rPr>
          <w:rFonts w:asciiTheme="minorHAnsi" w:hAnsiTheme="minorHAnsi" w:cs="Arial"/>
          <w:szCs w:val="24"/>
        </w:rPr>
        <w:lastRenderedPageBreak/>
        <w:t xml:space="preserve">Across the HE </w:t>
      </w:r>
      <w:proofErr w:type="gramStart"/>
      <w:r w:rsidRPr="006C29C0">
        <w:rPr>
          <w:rFonts w:asciiTheme="minorHAnsi" w:hAnsiTheme="minorHAnsi" w:cs="Arial"/>
          <w:szCs w:val="24"/>
        </w:rPr>
        <w:t>pay</w:t>
      </w:r>
      <w:proofErr w:type="gramEnd"/>
      <w:r w:rsidRPr="006C29C0">
        <w:rPr>
          <w:rFonts w:asciiTheme="minorHAnsi" w:hAnsiTheme="minorHAnsi" w:cs="Arial"/>
          <w:szCs w:val="24"/>
        </w:rPr>
        <w:t xml:space="preserve"> spine, </w:t>
      </w:r>
      <w:r w:rsidR="001E33D2" w:rsidRPr="006C29C0">
        <w:rPr>
          <w:rFonts w:asciiTheme="minorHAnsi" w:hAnsiTheme="minorHAnsi" w:cs="Arial"/>
          <w:szCs w:val="24"/>
        </w:rPr>
        <w:t xml:space="preserve">the average loss </w:t>
      </w:r>
      <w:r w:rsidR="00C0171B" w:rsidRPr="006C29C0">
        <w:rPr>
          <w:rFonts w:asciiTheme="minorHAnsi" w:hAnsiTheme="minorHAnsi" w:cs="Arial"/>
          <w:szCs w:val="24"/>
        </w:rPr>
        <w:t xml:space="preserve">has been 13.7% between 2020 and 2024, varying from 5.2% on the bottom </w:t>
      </w:r>
      <w:r w:rsidR="00867592" w:rsidRPr="006C29C0">
        <w:rPr>
          <w:rFonts w:asciiTheme="minorHAnsi" w:hAnsiTheme="minorHAnsi" w:cs="Arial"/>
          <w:szCs w:val="24"/>
        </w:rPr>
        <w:t>pay points to 16.1% across the top half of the pay spine.</w:t>
      </w:r>
    </w:p>
    <w:p w14:paraId="6512A173" w14:textId="60400691" w:rsidR="00E80B03" w:rsidRPr="006C29C0" w:rsidRDefault="00867592" w:rsidP="009C109B">
      <w:pPr>
        <w:pStyle w:val="BodyTextIndent3"/>
        <w:spacing w:before="120" w:line="276" w:lineRule="auto"/>
        <w:ind w:left="0" w:firstLine="0"/>
        <w:rPr>
          <w:rFonts w:asciiTheme="minorHAnsi" w:hAnsiTheme="minorHAnsi" w:cs="Arial"/>
          <w:szCs w:val="24"/>
        </w:rPr>
      </w:pPr>
      <w:r w:rsidRPr="006C29C0">
        <w:rPr>
          <w:rFonts w:asciiTheme="minorHAnsi" w:hAnsiTheme="minorHAnsi" w:cs="Arial"/>
          <w:szCs w:val="24"/>
        </w:rPr>
        <w:t xml:space="preserve">In cash terms, </w:t>
      </w:r>
      <w:r w:rsidR="008E6995" w:rsidRPr="006C29C0">
        <w:rPr>
          <w:rFonts w:asciiTheme="minorHAnsi" w:hAnsiTheme="minorHAnsi" w:cs="Arial"/>
          <w:szCs w:val="24"/>
        </w:rPr>
        <w:t xml:space="preserve">the average </w:t>
      </w:r>
      <w:r w:rsidR="005C2ED3" w:rsidRPr="006C29C0">
        <w:rPr>
          <w:rFonts w:asciiTheme="minorHAnsi" w:hAnsiTheme="minorHAnsi" w:cs="Arial"/>
          <w:szCs w:val="24"/>
        </w:rPr>
        <w:t xml:space="preserve">pay point would </w:t>
      </w:r>
      <w:r w:rsidR="00E84ADD" w:rsidRPr="006C29C0">
        <w:rPr>
          <w:rFonts w:asciiTheme="minorHAnsi" w:hAnsiTheme="minorHAnsi" w:cs="Arial"/>
          <w:szCs w:val="24"/>
        </w:rPr>
        <w:t>b</w:t>
      </w:r>
      <w:r w:rsidR="00E80B03" w:rsidRPr="006C29C0">
        <w:rPr>
          <w:rFonts w:asciiTheme="minorHAnsi" w:hAnsiTheme="minorHAnsi" w:cs="Arial"/>
          <w:szCs w:val="24"/>
        </w:rPr>
        <w:t>e worth over £6,600 more ha</w:t>
      </w:r>
      <w:r w:rsidR="00F51C0B" w:rsidRPr="006C29C0">
        <w:rPr>
          <w:rFonts w:asciiTheme="minorHAnsi" w:hAnsiTheme="minorHAnsi" w:cs="Arial"/>
          <w:szCs w:val="24"/>
        </w:rPr>
        <w:t>d</w:t>
      </w:r>
      <w:r w:rsidR="00E80B03" w:rsidRPr="006C29C0">
        <w:rPr>
          <w:rFonts w:asciiTheme="minorHAnsi" w:hAnsiTheme="minorHAnsi" w:cs="Arial"/>
          <w:szCs w:val="24"/>
        </w:rPr>
        <w:t xml:space="preserve"> it kept pace with inflation.</w:t>
      </w:r>
    </w:p>
    <w:p w14:paraId="0964F156" w14:textId="26BE8CC0" w:rsidR="00CC3D4A" w:rsidRPr="006C29C0" w:rsidRDefault="00CC3D4A" w:rsidP="009C109B">
      <w:pPr>
        <w:pStyle w:val="BodyTextIndent3"/>
        <w:spacing w:before="120" w:line="276" w:lineRule="auto"/>
        <w:ind w:left="0" w:firstLine="0"/>
        <w:rPr>
          <w:rFonts w:asciiTheme="minorHAnsi" w:hAnsiTheme="minorHAnsi" w:cs="Arial"/>
          <w:szCs w:val="24"/>
        </w:rPr>
      </w:pPr>
      <w:r w:rsidRPr="006C29C0">
        <w:rPr>
          <w:rFonts w:asciiTheme="minorHAnsi" w:hAnsiTheme="minorHAnsi"/>
          <w:noProof/>
          <w:szCs w:val="24"/>
        </w:rPr>
        <w:drawing>
          <wp:inline distT="0" distB="0" distL="0" distR="0" wp14:anchorId="772A796A" wp14:editId="2F1A6D51">
            <wp:extent cx="4572000" cy="2743200"/>
            <wp:effectExtent l="0" t="0" r="0" b="0"/>
            <wp:docPr id="1696551961" name="Chart 1">
              <a:extLst xmlns:a="http://schemas.openxmlformats.org/drawingml/2006/main">
                <a:ext uri="{FF2B5EF4-FFF2-40B4-BE49-F238E27FC236}">
                  <a16:creationId xmlns:a16="http://schemas.microsoft.com/office/drawing/2014/main" id="{BFF4EB1E-E48C-FD48-42FF-15A78F3B00C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B7A61F6" w14:textId="42AB413A" w:rsidR="00CC3D4A" w:rsidRPr="006C29C0" w:rsidRDefault="00E80B03" w:rsidP="009C109B">
      <w:pPr>
        <w:pStyle w:val="BodyTextIndent3"/>
        <w:spacing w:before="120" w:line="276" w:lineRule="auto"/>
        <w:ind w:left="0" w:firstLine="0"/>
        <w:rPr>
          <w:rFonts w:asciiTheme="minorHAnsi" w:hAnsiTheme="minorHAnsi" w:cs="Arial"/>
          <w:szCs w:val="24"/>
        </w:rPr>
      </w:pPr>
      <w:r w:rsidRPr="006C29C0">
        <w:rPr>
          <w:rFonts w:asciiTheme="minorHAnsi" w:hAnsiTheme="minorHAnsi" w:cs="Arial"/>
          <w:szCs w:val="24"/>
        </w:rPr>
        <w:t>When loo</w:t>
      </w:r>
      <w:r w:rsidR="00CC3D4A" w:rsidRPr="006C29C0">
        <w:rPr>
          <w:rFonts w:asciiTheme="minorHAnsi" w:hAnsiTheme="minorHAnsi" w:cs="Arial"/>
          <w:szCs w:val="24"/>
        </w:rPr>
        <w:t>k</w:t>
      </w:r>
      <w:r w:rsidRPr="006C29C0">
        <w:rPr>
          <w:rFonts w:asciiTheme="minorHAnsi" w:hAnsiTheme="minorHAnsi" w:cs="Arial"/>
          <w:szCs w:val="24"/>
        </w:rPr>
        <w:t>ing over a longer timescal</w:t>
      </w:r>
      <w:r w:rsidR="003D5E5B" w:rsidRPr="006C29C0">
        <w:rPr>
          <w:rFonts w:asciiTheme="minorHAnsi" w:hAnsiTheme="minorHAnsi" w:cs="Arial"/>
          <w:szCs w:val="24"/>
        </w:rPr>
        <w:t>e, going back to 2010, the impact is even more dramatic.</w:t>
      </w:r>
      <w:r w:rsidR="00CC3D4A" w:rsidRPr="006C29C0">
        <w:rPr>
          <w:rFonts w:asciiTheme="minorHAnsi" w:hAnsiTheme="minorHAnsi" w:cs="Arial"/>
          <w:szCs w:val="24"/>
        </w:rPr>
        <w:t xml:space="preserve"> The average loss has been 27.5% between 2010 and 2024, varying from 16.2% on the bottom pay points to 30.2% across the top half of the pay spine.</w:t>
      </w:r>
    </w:p>
    <w:p w14:paraId="2A3184F3" w14:textId="240A4A9E" w:rsidR="00264DC6" w:rsidRPr="006C29C0" w:rsidRDefault="00264DC6" w:rsidP="009C109B">
      <w:pPr>
        <w:pStyle w:val="BodyTextIndent3"/>
        <w:spacing w:before="120" w:line="276" w:lineRule="auto"/>
        <w:ind w:left="0" w:firstLine="0"/>
        <w:rPr>
          <w:rFonts w:asciiTheme="minorHAnsi" w:hAnsiTheme="minorHAnsi" w:cs="Arial"/>
          <w:szCs w:val="24"/>
        </w:rPr>
      </w:pPr>
      <w:r w:rsidRPr="006C29C0">
        <w:rPr>
          <w:rFonts w:asciiTheme="minorHAnsi" w:hAnsiTheme="minorHAnsi" w:cs="Arial"/>
          <w:szCs w:val="24"/>
        </w:rPr>
        <w:t xml:space="preserve">These are even sharper drops than the economy </w:t>
      </w:r>
      <w:r w:rsidR="005556FB" w:rsidRPr="006C29C0">
        <w:rPr>
          <w:rFonts w:asciiTheme="minorHAnsi" w:hAnsiTheme="minorHAnsi" w:cs="Arial"/>
          <w:szCs w:val="24"/>
        </w:rPr>
        <w:t xml:space="preserve">generally, where cuts in the value of wages have hit 20% </w:t>
      </w:r>
      <w:r w:rsidR="00A45996" w:rsidRPr="006C29C0">
        <w:rPr>
          <w:rFonts w:asciiTheme="minorHAnsi" w:hAnsiTheme="minorHAnsi" w:cs="Arial"/>
          <w:szCs w:val="24"/>
        </w:rPr>
        <w:t>for the average worker and 22% in the public sector</w:t>
      </w:r>
      <w:r w:rsidR="00183704" w:rsidRPr="006C29C0">
        <w:rPr>
          <w:rFonts w:asciiTheme="minorHAnsi" w:hAnsiTheme="minorHAnsi" w:cs="Arial"/>
          <w:szCs w:val="24"/>
        </w:rPr>
        <w:t xml:space="preserve"> over the same timeframe</w:t>
      </w:r>
      <w:r w:rsidR="00A45996" w:rsidRPr="006C29C0">
        <w:rPr>
          <w:rFonts w:asciiTheme="minorHAnsi" w:hAnsiTheme="minorHAnsi" w:cs="Arial"/>
          <w:szCs w:val="24"/>
        </w:rPr>
        <w:t>.</w:t>
      </w:r>
    </w:p>
    <w:p w14:paraId="0CAA3FB2" w14:textId="4D1CFB0C" w:rsidR="0031669A" w:rsidRPr="006C29C0" w:rsidRDefault="00A45996" w:rsidP="009C109B">
      <w:pPr>
        <w:spacing w:before="120" w:after="120" w:line="276" w:lineRule="auto"/>
        <w:rPr>
          <w:rFonts w:asciiTheme="minorHAnsi" w:hAnsiTheme="minorHAnsi" w:cs="Arial"/>
          <w:noProof/>
          <w:sz w:val="24"/>
          <w:szCs w:val="24"/>
        </w:rPr>
      </w:pPr>
      <w:r w:rsidRPr="006C29C0">
        <w:rPr>
          <w:rFonts w:asciiTheme="minorHAnsi" w:hAnsiTheme="minorHAnsi" w:cs="Arial"/>
          <w:noProof/>
          <w:sz w:val="24"/>
          <w:szCs w:val="24"/>
        </w:rPr>
        <w:t xml:space="preserve">Although </w:t>
      </w:r>
      <w:r w:rsidR="00E43252" w:rsidRPr="006C29C0">
        <w:rPr>
          <w:rFonts w:asciiTheme="minorHAnsi" w:hAnsiTheme="minorHAnsi" w:cs="Arial"/>
          <w:noProof/>
          <w:sz w:val="24"/>
          <w:szCs w:val="24"/>
        </w:rPr>
        <w:t>i</w:t>
      </w:r>
      <w:r w:rsidR="0031669A" w:rsidRPr="006C29C0">
        <w:rPr>
          <w:rFonts w:asciiTheme="minorHAnsi" w:hAnsiTheme="minorHAnsi" w:cs="Arial"/>
          <w:noProof/>
          <w:sz w:val="24"/>
          <w:szCs w:val="24"/>
        </w:rPr>
        <w:t xml:space="preserve">nflation </w:t>
      </w:r>
      <w:r w:rsidR="00E43252" w:rsidRPr="006C29C0">
        <w:rPr>
          <w:rFonts w:asciiTheme="minorHAnsi" w:hAnsiTheme="minorHAnsi" w:cs="Arial"/>
          <w:noProof/>
          <w:sz w:val="24"/>
          <w:szCs w:val="24"/>
        </w:rPr>
        <w:t xml:space="preserve">declined over 2024, it was </w:t>
      </w:r>
      <w:r w:rsidR="0031669A" w:rsidRPr="006C29C0">
        <w:rPr>
          <w:rFonts w:asciiTheme="minorHAnsi" w:hAnsiTheme="minorHAnsi" w:cs="Arial"/>
          <w:noProof/>
          <w:sz w:val="24"/>
          <w:szCs w:val="24"/>
        </w:rPr>
        <w:t>still running at 3.</w:t>
      </w:r>
      <w:r w:rsidR="00970312" w:rsidRPr="006C29C0">
        <w:rPr>
          <w:rFonts w:asciiTheme="minorHAnsi" w:hAnsiTheme="minorHAnsi" w:cs="Arial"/>
          <w:noProof/>
          <w:sz w:val="24"/>
          <w:szCs w:val="24"/>
        </w:rPr>
        <w:t>6</w:t>
      </w:r>
      <w:r w:rsidR="0031669A" w:rsidRPr="006C29C0">
        <w:rPr>
          <w:rFonts w:asciiTheme="minorHAnsi" w:hAnsiTheme="minorHAnsi" w:cs="Arial"/>
          <w:noProof/>
          <w:sz w:val="24"/>
          <w:szCs w:val="24"/>
        </w:rPr>
        <w:t>%</w:t>
      </w:r>
      <w:r w:rsidR="00E43252" w:rsidRPr="006C29C0">
        <w:rPr>
          <w:rFonts w:asciiTheme="minorHAnsi" w:hAnsiTheme="minorHAnsi" w:cs="Arial"/>
          <w:noProof/>
          <w:sz w:val="24"/>
          <w:szCs w:val="24"/>
        </w:rPr>
        <w:t xml:space="preserve"> at </w:t>
      </w:r>
      <w:r w:rsidR="006D5FFD" w:rsidRPr="006C29C0">
        <w:rPr>
          <w:rFonts w:asciiTheme="minorHAnsi" w:hAnsiTheme="minorHAnsi" w:cs="Arial"/>
          <w:noProof/>
          <w:sz w:val="24"/>
          <w:szCs w:val="24"/>
        </w:rPr>
        <w:t>January 2025</w:t>
      </w:r>
      <w:r w:rsidR="0031669A" w:rsidRPr="006C29C0">
        <w:rPr>
          <w:rFonts w:asciiTheme="minorHAnsi" w:hAnsiTheme="minorHAnsi" w:cs="Arial"/>
          <w:noProof/>
          <w:sz w:val="24"/>
          <w:szCs w:val="24"/>
        </w:rPr>
        <w:t xml:space="preserve">, led by major </w:t>
      </w:r>
      <w:r w:rsidR="00D234DF" w:rsidRPr="006C29C0">
        <w:rPr>
          <w:rFonts w:asciiTheme="minorHAnsi" w:hAnsiTheme="minorHAnsi" w:cs="Arial"/>
          <w:noProof/>
          <w:sz w:val="24"/>
          <w:szCs w:val="24"/>
        </w:rPr>
        <w:t>increases</w:t>
      </w:r>
      <w:r w:rsidR="0031669A" w:rsidRPr="006C29C0">
        <w:rPr>
          <w:rFonts w:asciiTheme="minorHAnsi" w:hAnsiTheme="minorHAnsi" w:cs="Arial"/>
          <w:noProof/>
          <w:sz w:val="24"/>
          <w:szCs w:val="24"/>
        </w:rPr>
        <w:t xml:space="preserve"> in housing costs - mortgage interest payments are surging by 1</w:t>
      </w:r>
      <w:r w:rsidR="004E1960" w:rsidRPr="006C29C0">
        <w:rPr>
          <w:rFonts w:asciiTheme="minorHAnsi" w:hAnsiTheme="minorHAnsi" w:cs="Arial"/>
          <w:noProof/>
          <w:sz w:val="24"/>
          <w:szCs w:val="24"/>
        </w:rPr>
        <w:t>5</w:t>
      </w:r>
      <w:r w:rsidR="0031669A" w:rsidRPr="006C29C0">
        <w:rPr>
          <w:rFonts w:asciiTheme="minorHAnsi" w:hAnsiTheme="minorHAnsi" w:cs="Arial"/>
          <w:noProof/>
          <w:sz w:val="24"/>
          <w:szCs w:val="24"/>
        </w:rPr>
        <w:t>%</w:t>
      </w:r>
      <w:r w:rsidR="0031669A" w:rsidRPr="006C29C0">
        <w:rPr>
          <w:rStyle w:val="FootnoteReference"/>
          <w:rFonts w:asciiTheme="minorHAnsi" w:hAnsiTheme="minorHAnsi" w:cs="Arial"/>
          <w:noProof/>
          <w:sz w:val="24"/>
          <w:szCs w:val="24"/>
        </w:rPr>
        <w:footnoteReference w:id="2"/>
      </w:r>
      <w:r w:rsidR="0031669A" w:rsidRPr="006C29C0">
        <w:rPr>
          <w:rFonts w:asciiTheme="minorHAnsi" w:hAnsiTheme="minorHAnsi" w:cs="Arial"/>
          <w:noProof/>
          <w:sz w:val="24"/>
          <w:szCs w:val="24"/>
        </w:rPr>
        <w:t>, private rent is rising by 9%</w:t>
      </w:r>
      <w:r w:rsidR="0031669A" w:rsidRPr="006C29C0">
        <w:rPr>
          <w:rStyle w:val="FootnoteReference"/>
          <w:rFonts w:asciiTheme="minorHAnsi" w:hAnsiTheme="minorHAnsi" w:cs="Arial"/>
          <w:noProof/>
          <w:sz w:val="24"/>
          <w:szCs w:val="24"/>
        </w:rPr>
        <w:footnoteReference w:id="3"/>
      </w:r>
      <w:r w:rsidR="0031669A" w:rsidRPr="006C29C0">
        <w:rPr>
          <w:rFonts w:asciiTheme="minorHAnsi" w:hAnsiTheme="minorHAnsi" w:cs="Arial"/>
          <w:noProof/>
          <w:sz w:val="24"/>
          <w:szCs w:val="24"/>
        </w:rPr>
        <w:t xml:space="preserve"> - </w:t>
      </w:r>
      <w:r w:rsidR="00DF10FB" w:rsidRPr="006C29C0">
        <w:rPr>
          <w:rFonts w:asciiTheme="minorHAnsi" w:hAnsiTheme="minorHAnsi" w:cs="Arial"/>
          <w:noProof/>
          <w:sz w:val="24"/>
          <w:szCs w:val="24"/>
        </w:rPr>
        <w:t xml:space="preserve">as well as </w:t>
      </w:r>
      <w:r w:rsidR="0031669A" w:rsidRPr="006C29C0">
        <w:rPr>
          <w:rFonts w:asciiTheme="minorHAnsi" w:hAnsiTheme="minorHAnsi" w:cs="Arial"/>
          <w:noProof/>
          <w:sz w:val="24"/>
          <w:szCs w:val="24"/>
        </w:rPr>
        <w:t>average household energy costs jump</w:t>
      </w:r>
      <w:r w:rsidR="00B965F0" w:rsidRPr="006C29C0">
        <w:rPr>
          <w:rFonts w:asciiTheme="minorHAnsi" w:hAnsiTheme="minorHAnsi" w:cs="Arial"/>
          <w:noProof/>
          <w:sz w:val="24"/>
          <w:szCs w:val="24"/>
        </w:rPr>
        <w:t>ing</w:t>
      </w:r>
      <w:r w:rsidR="0031669A" w:rsidRPr="006C29C0">
        <w:rPr>
          <w:rFonts w:asciiTheme="minorHAnsi" w:hAnsiTheme="minorHAnsi" w:cs="Arial"/>
          <w:noProof/>
          <w:sz w:val="24"/>
          <w:szCs w:val="24"/>
        </w:rPr>
        <w:t xml:space="preserve"> by 10%</w:t>
      </w:r>
      <w:r w:rsidR="0031669A" w:rsidRPr="006C29C0">
        <w:rPr>
          <w:rStyle w:val="FootnoteReference"/>
          <w:rFonts w:asciiTheme="minorHAnsi" w:hAnsiTheme="minorHAnsi" w:cs="Arial"/>
          <w:noProof/>
          <w:sz w:val="24"/>
          <w:szCs w:val="24"/>
        </w:rPr>
        <w:footnoteReference w:id="4"/>
      </w:r>
      <w:r w:rsidR="0031669A" w:rsidRPr="006C29C0">
        <w:rPr>
          <w:rFonts w:asciiTheme="minorHAnsi" w:hAnsiTheme="minorHAnsi" w:cs="Arial"/>
          <w:noProof/>
          <w:sz w:val="24"/>
          <w:szCs w:val="24"/>
        </w:rPr>
        <w:t xml:space="preserve"> and water charges by 8%</w:t>
      </w:r>
      <w:r w:rsidR="0031669A" w:rsidRPr="006C29C0">
        <w:rPr>
          <w:rStyle w:val="FootnoteReference"/>
          <w:rFonts w:asciiTheme="minorHAnsi" w:hAnsiTheme="minorHAnsi" w:cs="Arial"/>
          <w:noProof/>
          <w:sz w:val="24"/>
          <w:szCs w:val="24"/>
        </w:rPr>
        <w:footnoteReference w:id="5"/>
      </w:r>
      <w:r w:rsidR="0031669A" w:rsidRPr="006C29C0">
        <w:rPr>
          <w:rFonts w:asciiTheme="minorHAnsi" w:hAnsiTheme="minorHAnsi" w:cs="Arial"/>
          <w:noProof/>
          <w:sz w:val="24"/>
          <w:szCs w:val="24"/>
        </w:rPr>
        <w:t>.</w:t>
      </w:r>
    </w:p>
    <w:p w14:paraId="39A96AFC" w14:textId="0B1B7E91" w:rsidR="00665E80" w:rsidRPr="006C29C0" w:rsidRDefault="00665E80" w:rsidP="009C109B">
      <w:pPr>
        <w:spacing w:after="120" w:line="276" w:lineRule="auto"/>
        <w:rPr>
          <w:rFonts w:asciiTheme="minorHAnsi" w:hAnsiTheme="minorHAnsi" w:cs="Arial"/>
          <w:sz w:val="24"/>
          <w:szCs w:val="24"/>
        </w:rPr>
      </w:pPr>
      <w:r w:rsidRPr="006C29C0">
        <w:rPr>
          <w:rFonts w:asciiTheme="minorHAnsi" w:hAnsiTheme="minorHAnsi" w:cs="Arial"/>
          <w:sz w:val="24"/>
          <w:szCs w:val="24"/>
        </w:rPr>
        <w:t xml:space="preserve">Furthermore, the last decade and a half has seen enormous </w:t>
      </w:r>
      <w:r w:rsidR="00E53D32" w:rsidRPr="006C29C0">
        <w:rPr>
          <w:rFonts w:asciiTheme="minorHAnsi" w:hAnsiTheme="minorHAnsi" w:cs="Arial"/>
          <w:sz w:val="24"/>
          <w:szCs w:val="24"/>
        </w:rPr>
        <w:t>spikes</w:t>
      </w:r>
      <w:r w:rsidRPr="006C29C0">
        <w:rPr>
          <w:rFonts w:asciiTheme="minorHAnsi" w:hAnsiTheme="minorHAnsi" w:cs="Arial"/>
          <w:sz w:val="24"/>
          <w:szCs w:val="24"/>
        </w:rPr>
        <w:t xml:space="preserve"> in the basic costs shown below</w:t>
      </w:r>
      <w:r w:rsidRPr="006C29C0">
        <w:rPr>
          <w:rStyle w:val="FootnoteReference"/>
          <w:rFonts w:asciiTheme="minorHAnsi" w:hAnsiTheme="minorHAnsi" w:cs="Arial"/>
          <w:noProof/>
          <w:sz w:val="24"/>
          <w:szCs w:val="24"/>
        </w:rPr>
        <w:footnoteReference w:id="6"/>
      </w:r>
      <w:r w:rsidRPr="006C29C0">
        <w:rPr>
          <w:rFonts w:asciiTheme="minorHAnsi" w:hAnsiTheme="minorHAnsi" w:cs="Arial"/>
          <w:sz w:val="24"/>
          <w:szCs w:val="24"/>
        </w:rPr>
        <w:t>.</w:t>
      </w:r>
    </w:p>
    <w:tbl>
      <w:tblPr>
        <w:tblW w:w="9214" w:type="dxa"/>
        <w:tblInd w:w="-5" w:type="dxa"/>
        <w:tblLook w:val="04A0" w:firstRow="1" w:lastRow="0" w:firstColumn="1" w:lastColumn="0" w:noHBand="0" w:noVBand="1"/>
      </w:tblPr>
      <w:tblGrid>
        <w:gridCol w:w="2381"/>
        <w:gridCol w:w="1560"/>
        <w:gridCol w:w="2268"/>
        <w:gridCol w:w="1559"/>
        <w:gridCol w:w="1446"/>
      </w:tblGrid>
      <w:tr w:rsidR="00057441" w:rsidRPr="006C29C0" w14:paraId="03D7843B" w14:textId="77777777" w:rsidTr="00B37D94">
        <w:trPr>
          <w:trHeight w:val="491"/>
        </w:trPr>
        <w:tc>
          <w:tcPr>
            <w:tcW w:w="2381" w:type="dxa"/>
            <w:tcBorders>
              <w:top w:val="single" w:sz="8" w:space="0" w:color="auto"/>
              <w:left w:val="single" w:sz="8" w:space="0" w:color="auto"/>
              <w:bottom w:val="single" w:sz="8" w:space="0" w:color="auto"/>
              <w:right w:val="single" w:sz="8" w:space="0" w:color="auto"/>
            </w:tcBorders>
            <w:shd w:val="clear" w:color="auto" w:fill="EAF1DD"/>
            <w:vAlign w:val="center"/>
            <w:hideMark/>
          </w:tcPr>
          <w:p w14:paraId="337A1E0A" w14:textId="77777777" w:rsidR="00665E80" w:rsidRPr="006C29C0" w:rsidRDefault="00665E80" w:rsidP="009C109B">
            <w:pPr>
              <w:pStyle w:val="NormalWeb"/>
              <w:spacing w:line="253" w:lineRule="atLeast"/>
              <w:rPr>
                <w:rFonts w:asciiTheme="minorHAnsi" w:hAnsiTheme="minorHAnsi" w:cs="Calibri"/>
              </w:rPr>
            </w:pPr>
            <w:r w:rsidRPr="006C29C0">
              <w:rPr>
                <w:rFonts w:asciiTheme="minorHAnsi" w:hAnsiTheme="minorHAnsi" w:cs="Calibri"/>
              </w:rPr>
              <w:t>Expenditure Item</w:t>
            </w:r>
          </w:p>
        </w:tc>
        <w:tc>
          <w:tcPr>
            <w:tcW w:w="1560" w:type="dxa"/>
            <w:tcBorders>
              <w:top w:val="single" w:sz="8" w:space="0" w:color="auto"/>
              <w:left w:val="nil"/>
              <w:bottom w:val="single" w:sz="8" w:space="0" w:color="auto"/>
              <w:right w:val="single" w:sz="8" w:space="0" w:color="auto"/>
            </w:tcBorders>
            <w:shd w:val="clear" w:color="auto" w:fill="EAF1DD"/>
            <w:vAlign w:val="center"/>
            <w:hideMark/>
          </w:tcPr>
          <w:p w14:paraId="6EDF2CF6" w14:textId="77777777" w:rsidR="00665E80" w:rsidRPr="006C29C0" w:rsidRDefault="00665E80" w:rsidP="009C109B">
            <w:pPr>
              <w:pStyle w:val="NormalWeb"/>
              <w:spacing w:line="253" w:lineRule="atLeast"/>
              <w:rPr>
                <w:rFonts w:asciiTheme="minorHAnsi" w:hAnsiTheme="minorHAnsi" w:cs="Calibri"/>
              </w:rPr>
            </w:pPr>
            <w:r w:rsidRPr="006C29C0">
              <w:rPr>
                <w:rFonts w:asciiTheme="minorHAnsi" w:hAnsiTheme="minorHAnsi" w:cs="Calibri"/>
              </w:rPr>
              <w:t>House prices</w:t>
            </w:r>
          </w:p>
        </w:tc>
        <w:tc>
          <w:tcPr>
            <w:tcW w:w="2268" w:type="dxa"/>
            <w:tcBorders>
              <w:top w:val="single" w:sz="8" w:space="0" w:color="auto"/>
              <w:left w:val="nil"/>
              <w:bottom w:val="single" w:sz="8" w:space="0" w:color="auto"/>
              <w:right w:val="single" w:sz="8" w:space="0" w:color="auto"/>
            </w:tcBorders>
            <w:shd w:val="clear" w:color="auto" w:fill="EAF1DD"/>
            <w:vAlign w:val="center"/>
            <w:hideMark/>
          </w:tcPr>
          <w:p w14:paraId="02CCD694" w14:textId="77777777" w:rsidR="00665E80" w:rsidRPr="006C29C0" w:rsidRDefault="00665E80" w:rsidP="009C109B">
            <w:pPr>
              <w:pStyle w:val="NormalWeb"/>
              <w:spacing w:line="253" w:lineRule="atLeast"/>
              <w:jc w:val="center"/>
              <w:rPr>
                <w:rFonts w:asciiTheme="minorHAnsi" w:hAnsiTheme="minorHAnsi" w:cs="Calibri"/>
              </w:rPr>
            </w:pPr>
            <w:r w:rsidRPr="006C29C0">
              <w:rPr>
                <w:rFonts w:asciiTheme="minorHAnsi" w:hAnsiTheme="minorHAnsi" w:cs="Calibri"/>
              </w:rPr>
              <w:t>Bus &amp; coach fares</w:t>
            </w:r>
          </w:p>
        </w:tc>
        <w:tc>
          <w:tcPr>
            <w:tcW w:w="1559" w:type="dxa"/>
            <w:tcBorders>
              <w:top w:val="single" w:sz="8" w:space="0" w:color="auto"/>
              <w:left w:val="nil"/>
              <w:bottom w:val="single" w:sz="8" w:space="0" w:color="auto"/>
              <w:right w:val="single" w:sz="4" w:space="0" w:color="auto"/>
            </w:tcBorders>
            <w:shd w:val="clear" w:color="auto" w:fill="EAF1DD"/>
            <w:vAlign w:val="center"/>
            <w:hideMark/>
          </w:tcPr>
          <w:p w14:paraId="07508CF6" w14:textId="77777777" w:rsidR="00665E80" w:rsidRPr="006C29C0" w:rsidRDefault="00665E80" w:rsidP="009C109B">
            <w:pPr>
              <w:pStyle w:val="NormalWeb"/>
              <w:spacing w:line="253" w:lineRule="atLeast"/>
              <w:jc w:val="center"/>
              <w:rPr>
                <w:rFonts w:asciiTheme="minorHAnsi" w:hAnsiTheme="minorHAnsi" w:cs="Calibri"/>
              </w:rPr>
            </w:pPr>
            <w:r w:rsidRPr="006C29C0">
              <w:rPr>
                <w:rFonts w:asciiTheme="minorHAnsi" w:hAnsiTheme="minorHAnsi" w:cs="Calibri"/>
              </w:rPr>
              <w:t>Electricity</w:t>
            </w:r>
          </w:p>
        </w:tc>
        <w:tc>
          <w:tcPr>
            <w:tcW w:w="1446" w:type="dxa"/>
            <w:tcBorders>
              <w:top w:val="single" w:sz="4" w:space="0" w:color="auto"/>
              <w:left w:val="single" w:sz="4" w:space="0" w:color="auto"/>
              <w:bottom w:val="single" w:sz="4" w:space="0" w:color="auto"/>
              <w:right w:val="single" w:sz="4" w:space="0" w:color="auto"/>
            </w:tcBorders>
            <w:shd w:val="clear" w:color="auto" w:fill="EAF1DD"/>
            <w:tcMar>
              <w:top w:w="15" w:type="dxa"/>
              <w:left w:w="15" w:type="dxa"/>
              <w:bottom w:w="15" w:type="dxa"/>
              <w:right w:w="15" w:type="dxa"/>
            </w:tcMar>
            <w:vAlign w:val="center"/>
            <w:hideMark/>
          </w:tcPr>
          <w:p w14:paraId="383C7EC1" w14:textId="77777777" w:rsidR="00665E80" w:rsidRPr="006C29C0" w:rsidRDefault="00665E80" w:rsidP="009C109B">
            <w:pPr>
              <w:pStyle w:val="NormalWeb"/>
              <w:spacing w:line="253" w:lineRule="atLeast"/>
              <w:jc w:val="center"/>
              <w:rPr>
                <w:rFonts w:asciiTheme="minorHAnsi" w:hAnsiTheme="minorHAnsi" w:cs="Calibri"/>
              </w:rPr>
            </w:pPr>
            <w:r w:rsidRPr="006C29C0">
              <w:rPr>
                <w:rFonts w:asciiTheme="minorHAnsi" w:hAnsiTheme="minorHAnsi" w:cs="Calibri"/>
              </w:rPr>
              <w:t>Gas</w:t>
            </w:r>
          </w:p>
        </w:tc>
      </w:tr>
      <w:tr w:rsidR="00057441" w:rsidRPr="006C29C0" w14:paraId="0A105277" w14:textId="77777777" w:rsidTr="00B37D94">
        <w:trPr>
          <w:trHeight w:val="390"/>
        </w:trPr>
        <w:tc>
          <w:tcPr>
            <w:tcW w:w="2381" w:type="dxa"/>
            <w:tcBorders>
              <w:top w:val="nil"/>
              <w:left w:val="single" w:sz="8" w:space="0" w:color="auto"/>
              <w:bottom w:val="single" w:sz="8" w:space="0" w:color="auto"/>
              <w:right w:val="single" w:sz="8" w:space="0" w:color="auto"/>
            </w:tcBorders>
            <w:shd w:val="clear" w:color="auto" w:fill="EAF1DD"/>
            <w:vAlign w:val="center"/>
            <w:hideMark/>
          </w:tcPr>
          <w:p w14:paraId="7DF8729E" w14:textId="77777777" w:rsidR="00665E80" w:rsidRPr="006C29C0" w:rsidRDefault="00665E80" w:rsidP="009C109B">
            <w:pPr>
              <w:pStyle w:val="NormalWeb"/>
              <w:spacing w:line="253" w:lineRule="atLeast"/>
              <w:rPr>
                <w:rFonts w:asciiTheme="minorHAnsi" w:hAnsiTheme="minorHAnsi" w:cs="Calibri"/>
              </w:rPr>
            </w:pPr>
            <w:r w:rsidRPr="006C29C0">
              <w:rPr>
                <w:rFonts w:asciiTheme="minorHAnsi" w:hAnsiTheme="minorHAnsi" w:cs="Calibri"/>
              </w:rPr>
              <w:t>Price rise 2010 - 24</w:t>
            </w:r>
          </w:p>
        </w:tc>
        <w:tc>
          <w:tcPr>
            <w:tcW w:w="1560" w:type="dxa"/>
            <w:tcBorders>
              <w:top w:val="nil"/>
              <w:left w:val="nil"/>
              <w:bottom w:val="single" w:sz="8" w:space="0" w:color="auto"/>
              <w:right w:val="single" w:sz="8" w:space="0" w:color="auto"/>
            </w:tcBorders>
            <w:shd w:val="clear" w:color="auto" w:fill="E5DFEC"/>
            <w:vAlign w:val="center"/>
            <w:hideMark/>
          </w:tcPr>
          <w:p w14:paraId="3F521787" w14:textId="77777777" w:rsidR="00665E80" w:rsidRPr="006C29C0" w:rsidRDefault="00665E80" w:rsidP="009C109B">
            <w:pPr>
              <w:pStyle w:val="NormalWeb"/>
              <w:spacing w:line="253" w:lineRule="atLeast"/>
              <w:jc w:val="center"/>
              <w:rPr>
                <w:rFonts w:asciiTheme="minorHAnsi" w:hAnsiTheme="minorHAnsi" w:cs="Calibri"/>
              </w:rPr>
            </w:pPr>
            <w:r w:rsidRPr="006C29C0">
              <w:rPr>
                <w:rFonts w:asciiTheme="minorHAnsi" w:hAnsiTheme="minorHAnsi" w:cs="Calibri"/>
              </w:rPr>
              <w:t>73%</w:t>
            </w:r>
          </w:p>
        </w:tc>
        <w:tc>
          <w:tcPr>
            <w:tcW w:w="2268" w:type="dxa"/>
            <w:tcBorders>
              <w:top w:val="nil"/>
              <w:left w:val="nil"/>
              <w:bottom w:val="single" w:sz="8" w:space="0" w:color="auto"/>
              <w:right w:val="single" w:sz="8" w:space="0" w:color="auto"/>
            </w:tcBorders>
            <w:shd w:val="clear" w:color="auto" w:fill="E5DFEC"/>
            <w:vAlign w:val="center"/>
            <w:hideMark/>
          </w:tcPr>
          <w:p w14:paraId="4B5D60E5" w14:textId="77777777" w:rsidR="00665E80" w:rsidRPr="006C29C0" w:rsidRDefault="00665E80" w:rsidP="009C109B">
            <w:pPr>
              <w:pStyle w:val="NormalWeb"/>
              <w:spacing w:line="253" w:lineRule="atLeast"/>
              <w:jc w:val="center"/>
              <w:rPr>
                <w:rFonts w:asciiTheme="minorHAnsi" w:hAnsiTheme="minorHAnsi" w:cs="Calibri"/>
              </w:rPr>
            </w:pPr>
            <w:r w:rsidRPr="006C29C0">
              <w:rPr>
                <w:rFonts w:asciiTheme="minorHAnsi" w:hAnsiTheme="minorHAnsi" w:cs="Calibri"/>
              </w:rPr>
              <w:t>93%</w:t>
            </w:r>
          </w:p>
        </w:tc>
        <w:tc>
          <w:tcPr>
            <w:tcW w:w="1559" w:type="dxa"/>
            <w:tcBorders>
              <w:top w:val="nil"/>
              <w:left w:val="nil"/>
              <w:bottom w:val="single" w:sz="8" w:space="0" w:color="auto"/>
              <w:right w:val="single" w:sz="4" w:space="0" w:color="auto"/>
            </w:tcBorders>
            <w:shd w:val="clear" w:color="auto" w:fill="E5DFEC"/>
            <w:vAlign w:val="center"/>
            <w:hideMark/>
          </w:tcPr>
          <w:p w14:paraId="585B1CA3" w14:textId="77777777" w:rsidR="00665E80" w:rsidRPr="006C29C0" w:rsidRDefault="00665E80" w:rsidP="009C109B">
            <w:pPr>
              <w:pStyle w:val="NormalWeb"/>
              <w:spacing w:line="253" w:lineRule="atLeast"/>
              <w:jc w:val="center"/>
              <w:rPr>
                <w:rFonts w:asciiTheme="minorHAnsi" w:hAnsiTheme="minorHAnsi" w:cs="Calibri"/>
              </w:rPr>
            </w:pPr>
            <w:r w:rsidRPr="006C29C0">
              <w:rPr>
                <w:rFonts w:asciiTheme="minorHAnsi" w:hAnsiTheme="minorHAnsi" w:cs="Calibri"/>
              </w:rPr>
              <w:t>144%</w:t>
            </w:r>
          </w:p>
        </w:tc>
        <w:tc>
          <w:tcPr>
            <w:tcW w:w="1446" w:type="dxa"/>
            <w:tcBorders>
              <w:top w:val="single" w:sz="4" w:space="0" w:color="auto"/>
              <w:left w:val="single" w:sz="4" w:space="0" w:color="auto"/>
              <w:bottom w:val="single" w:sz="4" w:space="0" w:color="auto"/>
              <w:right w:val="single" w:sz="4" w:space="0" w:color="auto"/>
            </w:tcBorders>
            <w:shd w:val="clear" w:color="auto" w:fill="E5DFEC"/>
            <w:tcMar>
              <w:top w:w="15" w:type="dxa"/>
              <w:left w:w="15" w:type="dxa"/>
              <w:bottom w:w="15" w:type="dxa"/>
              <w:right w:w="15" w:type="dxa"/>
            </w:tcMar>
            <w:vAlign w:val="center"/>
            <w:hideMark/>
          </w:tcPr>
          <w:p w14:paraId="3A668530" w14:textId="77777777" w:rsidR="00665E80" w:rsidRPr="006C29C0" w:rsidRDefault="00665E80" w:rsidP="009C109B">
            <w:pPr>
              <w:pStyle w:val="NormalWeb"/>
              <w:spacing w:line="253" w:lineRule="atLeast"/>
              <w:jc w:val="center"/>
              <w:rPr>
                <w:rFonts w:asciiTheme="minorHAnsi" w:hAnsiTheme="minorHAnsi" w:cs="Calibri"/>
              </w:rPr>
            </w:pPr>
            <w:r w:rsidRPr="006C29C0">
              <w:rPr>
                <w:rFonts w:asciiTheme="minorHAnsi" w:hAnsiTheme="minorHAnsi" w:cs="Calibri"/>
              </w:rPr>
              <w:t>92%</w:t>
            </w:r>
          </w:p>
        </w:tc>
      </w:tr>
    </w:tbl>
    <w:p w14:paraId="2C8D8C84" w14:textId="5314EBF2" w:rsidR="00FA1E22" w:rsidRPr="006C29C0" w:rsidRDefault="00D234DF" w:rsidP="009C109B">
      <w:pPr>
        <w:spacing w:before="240" w:after="120" w:line="276" w:lineRule="auto"/>
        <w:rPr>
          <w:rFonts w:asciiTheme="minorHAnsi" w:hAnsiTheme="minorHAnsi" w:cs="Arial"/>
          <w:noProof/>
          <w:sz w:val="24"/>
          <w:szCs w:val="24"/>
        </w:rPr>
      </w:pPr>
      <w:r w:rsidRPr="006C29C0">
        <w:rPr>
          <w:rFonts w:asciiTheme="minorHAnsi" w:hAnsiTheme="minorHAnsi" w:cs="Arial"/>
          <w:noProof/>
          <w:sz w:val="24"/>
          <w:szCs w:val="24"/>
        </w:rPr>
        <w:lastRenderedPageBreak/>
        <w:t>F</w:t>
      </w:r>
      <w:r w:rsidR="00FA1E22" w:rsidRPr="006C29C0">
        <w:rPr>
          <w:rFonts w:asciiTheme="minorHAnsi" w:hAnsiTheme="minorHAnsi" w:cs="Arial"/>
          <w:noProof/>
          <w:sz w:val="24"/>
          <w:szCs w:val="24"/>
        </w:rPr>
        <w:t xml:space="preserve">orecasts </w:t>
      </w:r>
      <w:r w:rsidR="00923413" w:rsidRPr="006C29C0">
        <w:rPr>
          <w:rFonts w:asciiTheme="minorHAnsi" w:hAnsiTheme="minorHAnsi" w:cs="Arial"/>
          <w:noProof/>
          <w:sz w:val="24"/>
          <w:szCs w:val="24"/>
        </w:rPr>
        <w:t xml:space="preserve">for the year ahead </w:t>
      </w:r>
      <w:r w:rsidRPr="006C29C0">
        <w:rPr>
          <w:rFonts w:asciiTheme="minorHAnsi" w:hAnsiTheme="minorHAnsi" w:cs="Arial"/>
          <w:noProof/>
          <w:sz w:val="24"/>
          <w:szCs w:val="24"/>
        </w:rPr>
        <w:t>show no signs of inflation substantially abating</w:t>
      </w:r>
      <w:r w:rsidR="00823062" w:rsidRPr="006C29C0">
        <w:rPr>
          <w:rFonts w:asciiTheme="minorHAnsi" w:hAnsiTheme="minorHAnsi" w:cs="Arial"/>
          <w:noProof/>
          <w:sz w:val="24"/>
          <w:szCs w:val="24"/>
        </w:rPr>
        <w:t xml:space="preserve">, with the Treasury </w:t>
      </w:r>
      <w:r w:rsidR="00923413" w:rsidRPr="006C29C0">
        <w:rPr>
          <w:rFonts w:asciiTheme="minorHAnsi" w:hAnsiTheme="minorHAnsi" w:cs="Arial"/>
          <w:noProof/>
          <w:sz w:val="24"/>
          <w:szCs w:val="24"/>
        </w:rPr>
        <w:t>put</w:t>
      </w:r>
      <w:r w:rsidR="00823062" w:rsidRPr="006C29C0">
        <w:rPr>
          <w:rFonts w:asciiTheme="minorHAnsi" w:hAnsiTheme="minorHAnsi" w:cs="Arial"/>
          <w:noProof/>
          <w:sz w:val="24"/>
          <w:szCs w:val="24"/>
        </w:rPr>
        <w:t>ting</w:t>
      </w:r>
      <w:r w:rsidR="00923413" w:rsidRPr="006C29C0">
        <w:rPr>
          <w:rFonts w:asciiTheme="minorHAnsi" w:hAnsiTheme="minorHAnsi" w:cs="Arial"/>
          <w:noProof/>
          <w:sz w:val="24"/>
          <w:szCs w:val="24"/>
        </w:rPr>
        <w:t xml:space="preserve"> inflation</w:t>
      </w:r>
      <w:r w:rsidR="00823062" w:rsidRPr="006C29C0">
        <w:rPr>
          <w:rFonts w:asciiTheme="minorHAnsi" w:hAnsiTheme="minorHAnsi" w:cs="Arial"/>
          <w:noProof/>
          <w:sz w:val="24"/>
          <w:szCs w:val="24"/>
        </w:rPr>
        <w:t xml:space="preserve"> over 2025</w:t>
      </w:r>
      <w:r w:rsidR="00923413" w:rsidRPr="006C29C0">
        <w:rPr>
          <w:rFonts w:asciiTheme="minorHAnsi" w:hAnsiTheme="minorHAnsi" w:cs="Arial"/>
          <w:noProof/>
          <w:sz w:val="24"/>
          <w:szCs w:val="24"/>
        </w:rPr>
        <w:t xml:space="preserve"> at 3.</w:t>
      </w:r>
      <w:r w:rsidR="004E1960" w:rsidRPr="006C29C0">
        <w:rPr>
          <w:rFonts w:asciiTheme="minorHAnsi" w:hAnsiTheme="minorHAnsi" w:cs="Arial"/>
          <w:noProof/>
          <w:sz w:val="24"/>
          <w:szCs w:val="24"/>
        </w:rPr>
        <w:t>9</w:t>
      </w:r>
      <w:r w:rsidR="00923413" w:rsidRPr="006C29C0">
        <w:rPr>
          <w:rFonts w:asciiTheme="minorHAnsi" w:hAnsiTheme="minorHAnsi" w:cs="Arial"/>
          <w:noProof/>
          <w:sz w:val="24"/>
          <w:szCs w:val="24"/>
        </w:rPr>
        <w:t>%</w:t>
      </w:r>
      <w:r w:rsidR="007F38A1" w:rsidRPr="006C29C0">
        <w:rPr>
          <w:rStyle w:val="FootnoteReference"/>
          <w:rFonts w:asciiTheme="minorHAnsi" w:hAnsiTheme="minorHAnsi" w:cs="Arial"/>
          <w:noProof/>
          <w:sz w:val="24"/>
          <w:szCs w:val="24"/>
        </w:rPr>
        <w:footnoteReference w:id="7"/>
      </w:r>
      <w:r w:rsidR="007F38A1" w:rsidRPr="006C29C0">
        <w:rPr>
          <w:rFonts w:asciiTheme="minorHAnsi" w:hAnsiTheme="minorHAnsi" w:cs="Arial"/>
          <w:noProof/>
          <w:sz w:val="24"/>
          <w:szCs w:val="24"/>
        </w:rPr>
        <w:t xml:space="preserve">. </w:t>
      </w:r>
    </w:p>
    <w:p w14:paraId="1F923C32" w14:textId="77777777" w:rsidR="00FE0762" w:rsidRPr="006C29C0" w:rsidRDefault="00FE0762" w:rsidP="009C109B">
      <w:pPr>
        <w:rPr>
          <w:rFonts w:asciiTheme="minorHAnsi" w:hAnsiTheme="minorHAnsi" w:cs="Arial"/>
          <w:sz w:val="24"/>
          <w:szCs w:val="24"/>
        </w:rPr>
      </w:pPr>
    </w:p>
    <w:p w14:paraId="7E87F16B" w14:textId="783E6508" w:rsidR="0031669A" w:rsidRPr="006C29C0" w:rsidRDefault="00FE0762" w:rsidP="009C109B">
      <w:pPr>
        <w:rPr>
          <w:rFonts w:asciiTheme="minorHAnsi" w:hAnsiTheme="minorHAnsi" w:cs="Arial"/>
          <w:b/>
          <w:bCs/>
          <w:sz w:val="24"/>
          <w:szCs w:val="24"/>
        </w:rPr>
      </w:pPr>
      <w:r w:rsidRPr="006C29C0">
        <w:rPr>
          <w:rFonts w:asciiTheme="minorHAnsi" w:hAnsiTheme="minorHAnsi" w:cs="Arial"/>
          <w:b/>
          <w:bCs/>
          <w:sz w:val="24"/>
          <w:szCs w:val="24"/>
        </w:rPr>
        <w:t>Falling behind average pay rates</w:t>
      </w:r>
    </w:p>
    <w:p w14:paraId="404598B2" w14:textId="5DFBA31B" w:rsidR="0031669A" w:rsidRPr="006C29C0" w:rsidRDefault="0031669A" w:rsidP="009C109B">
      <w:pPr>
        <w:spacing w:before="120"/>
        <w:rPr>
          <w:rFonts w:asciiTheme="minorHAnsi" w:hAnsiTheme="minorHAnsi" w:cs="Arial"/>
          <w:sz w:val="24"/>
          <w:szCs w:val="24"/>
          <w:lang w:eastAsia="en-GB"/>
        </w:rPr>
      </w:pPr>
      <w:r w:rsidRPr="006C29C0">
        <w:rPr>
          <w:rFonts w:asciiTheme="minorHAnsi" w:hAnsiTheme="minorHAnsi" w:cs="Arial"/>
          <w:sz w:val="24"/>
          <w:szCs w:val="24"/>
          <w:lang w:eastAsia="en-GB"/>
        </w:rPr>
        <w:t xml:space="preserve">The ability of </w:t>
      </w:r>
      <w:r w:rsidR="00FE0762" w:rsidRPr="006C29C0">
        <w:rPr>
          <w:rFonts w:asciiTheme="minorHAnsi" w:hAnsiTheme="minorHAnsi" w:cs="Arial"/>
          <w:bCs/>
          <w:sz w:val="24"/>
          <w:szCs w:val="24"/>
          <w:lang w:eastAsia="en-GB"/>
        </w:rPr>
        <w:t>higher education institutions</w:t>
      </w:r>
      <w:r w:rsidRPr="006C29C0">
        <w:rPr>
          <w:rFonts w:asciiTheme="minorHAnsi" w:hAnsiTheme="minorHAnsi" w:cs="Arial"/>
          <w:b/>
          <w:sz w:val="24"/>
          <w:szCs w:val="24"/>
          <w:lang w:eastAsia="en-GB"/>
        </w:rPr>
        <w:t xml:space="preserve"> </w:t>
      </w:r>
      <w:r w:rsidRPr="006C29C0">
        <w:rPr>
          <w:rFonts w:asciiTheme="minorHAnsi" w:hAnsiTheme="minorHAnsi" w:cs="Arial"/>
          <w:sz w:val="24"/>
          <w:szCs w:val="24"/>
          <w:lang w:eastAsia="en-GB"/>
        </w:rPr>
        <w:t xml:space="preserve">to attract and retain staff in the long term will be damaged if the pay of its staff falls behind the going rate in the labour market. </w:t>
      </w:r>
    </w:p>
    <w:p w14:paraId="4BC791F9" w14:textId="3FC4963D" w:rsidR="00D56FD5" w:rsidRPr="006C29C0" w:rsidRDefault="00D56FD5" w:rsidP="009C109B">
      <w:pPr>
        <w:pStyle w:val="BodyTextIndent3"/>
        <w:spacing w:before="120" w:line="276" w:lineRule="auto"/>
        <w:ind w:left="0" w:firstLine="0"/>
        <w:rPr>
          <w:rFonts w:asciiTheme="minorHAnsi" w:hAnsiTheme="minorHAnsi" w:cs="Arial"/>
          <w:szCs w:val="24"/>
        </w:rPr>
      </w:pPr>
      <w:r w:rsidRPr="006C29C0">
        <w:rPr>
          <w:rFonts w:asciiTheme="minorHAnsi" w:hAnsiTheme="minorHAnsi" w:cs="Arial"/>
          <w:szCs w:val="24"/>
        </w:rPr>
        <w:t xml:space="preserve">The graph below demonstrates how pay settlements </w:t>
      </w:r>
      <w:r w:rsidR="00C438CA" w:rsidRPr="006C29C0">
        <w:rPr>
          <w:rFonts w:asciiTheme="minorHAnsi" w:hAnsiTheme="minorHAnsi" w:cs="Arial"/>
          <w:szCs w:val="24"/>
        </w:rPr>
        <w:t xml:space="preserve">for </w:t>
      </w:r>
      <w:r w:rsidR="00C438CA" w:rsidRPr="006C29C0">
        <w:rPr>
          <w:rFonts w:asciiTheme="minorHAnsi" w:hAnsiTheme="minorHAnsi" w:cs="Arial"/>
          <w:bCs/>
          <w:szCs w:val="24"/>
          <w:lang w:eastAsia="en-GB"/>
        </w:rPr>
        <w:t>higher education institutions</w:t>
      </w:r>
      <w:r w:rsidR="00C438CA" w:rsidRPr="006C29C0">
        <w:rPr>
          <w:rFonts w:asciiTheme="minorHAnsi" w:hAnsiTheme="minorHAnsi" w:cs="Arial"/>
          <w:b/>
          <w:szCs w:val="24"/>
          <w:lang w:eastAsia="en-GB"/>
        </w:rPr>
        <w:t xml:space="preserve"> </w:t>
      </w:r>
      <w:r w:rsidRPr="006C29C0">
        <w:rPr>
          <w:rFonts w:asciiTheme="minorHAnsi" w:hAnsiTheme="minorHAnsi" w:cs="Arial"/>
          <w:szCs w:val="24"/>
        </w:rPr>
        <w:t>have fallen behind economy averages over a sustained period.</w:t>
      </w:r>
    </w:p>
    <w:p w14:paraId="34C6DAE0" w14:textId="77777777" w:rsidR="00D56FD5" w:rsidRPr="006C29C0" w:rsidRDefault="00D56FD5" w:rsidP="009C109B">
      <w:pPr>
        <w:spacing w:before="120"/>
        <w:rPr>
          <w:rFonts w:asciiTheme="minorHAnsi" w:hAnsiTheme="minorHAnsi" w:cs="Arial"/>
          <w:sz w:val="24"/>
          <w:szCs w:val="24"/>
          <w:lang w:eastAsia="en-GB"/>
        </w:rPr>
      </w:pPr>
    </w:p>
    <w:p w14:paraId="476452F0" w14:textId="3B007819" w:rsidR="00D56FD5" w:rsidRPr="006C29C0" w:rsidRDefault="00D56FD5" w:rsidP="009C109B">
      <w:pPr>
        <w:spacing w:before="120"/>
        <w:rPr>
          <w:rFonts w:asciiTheme="minorHAnsi" w:hAnsiTheme="minorHAnsi" w:cs="Arial"/>
          <w:sz w:val="24"/>
          <w:szCs w:val="24"/>
          <w:lang w:eastAsia="en-GB"/>
        </w:rPr>
      </w:pPr>
      <w:r w:rsidRPr="006C29C0">
        <w:rPr>
          <w:rFonts w:asciiTheme="minorHAnsi" w:hAnsiTheme="minorHAnsi"/>
          <w:noProof/>
          <w:sz w:val="24"/>
          <w:szCs w:val="24"/>
        </w:rPr>
        <w:drawing>
          <wp:inline distT="0" distB="0" distL="0" distR="0" wp14:anchorId="1C0C2203" wp14:editId="7451B1AB">
            <wp:extent cx="5731510" cy="2693035"/>
            <wp:effectExtent l="0" t="0" r="2540" b="12065"/>
            <wp:docPr id="1166016279" name="Chart 1">
              <a:extLst xmlns:a="http://schemas.openxmlformats.org/drawingml/2006/main">
                <a:ext uri="{FF2B5EF4-FFF2-40B4-BE49-F238E27FC236}">
                  <a16:creationId xmlns:a16="http://schemas.microsoft.com/office/drawing/2014/main" id="{3270CD16-8850-54B1-BB28-5A0598BDE3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9A493ED" w14:textId="77777777" w:rsidR="00D3157A" w:rsidRPr="006C29C0" w:rsidRDefault="00D3157A" w:rsidP="009C109B">
      <w:pPr>
        <w:spacing w:before="120"/>
        <w:rPr>
          <w:rFonts w:asciiTheme="minorHAnsi" w:hAnsiTheme="minorHAnsi" w:cs="Arial"/>
          <w:sz w:val="24"/>
          <w:szCs w:val="24"/>
          <w:lang w:eastAsia="en-GB"/>
        </w:rPr>
      </w:pPr>
    </w:p>
    <w:p w14:paraId="669FFBC4" w14:textId="573E92C5" w:rsidR="00D3157A" w:rsidRPr="006C29C0" w:rsidRDefault="000261B9" w:rsidP="009C109B">
      <w:pPr>
        <w:spacing w:before="120" w:after="120" w:line="276" w:lineRule="auto"/>
        <w:rPr>
          <w:rFonts w:asciiTheme="minorHAnsi" w:hAnsiTheme="minorHAnsi" w:cs="Arial"/>
          <w:sz w:val="24"/>
          <w:szCs w:val="24"/>
          <w:lang w:eastAsia="en-GB"/>
        </w:rPr>
      </w:pPr>
      <w:r w:rsidRPr="006C29C0">
        <w:rPr>
          <w:rFonts w:asciiTheme="minorHAnsi" w:hAnsiTheme="minorHAnsi" w:cs="Arial"/>
          <w:sz w:val="24"/>
          <w:szCs w:val="24"/>
          <w:lang w:eastAsia="en-GB"/>
        </w:rPr>
        <w:t xml:space="preserve">Over the period 2010 to 2024, </w:t>
      </w:r>
      <w:r w:rsidR="00F37593" w:rsidRPr="006C29C0">
        <w:rPr>
          <w:rFonts w:asciiTheme="minorHAnsi" w:hAnsiTheme="minorHAnsi" w:cs="Arial"/>
          <w:sz w:val="24"/>
          <w:szCs w:val="24"/>
          <w:lang w:eastAsia="en-GB"/>
        </w:rPr>
        <w:t xml:space="preserve">an average wage would have grown </w:t>
      </w:r>
      <w:r w:rsidR="00F52814" w:rsidRPr="006C29C0">
        <w:rPr>
          <w:rFonts w:asciiTheme="minorHAnsi" w:hAnsiTheme="minorHAnsi" w:cs="Arial"/>
          <w:sz w:val="24"/>
          <w:szCs w:val="24"/>
          <w:lang w:eastAsia="en-GB"/>
        </w:rPr>
        <w:t xml:space="preserve">12.8% more than the average </w:t>
      </w:r>
      <w:r w:rsidR="004A2FCF" w:rsidRPr="006C29C0">
        <w:rPr>
          <w:rFonts w:asciiTheme="minorHAnsi" w:hAnsiTheme="minorHAnsi" w:cs="Arial"/>
          <w:sz w:val="24"/>
          <w:szCs w:val="24"/>
          <w:lang w:eastAsia="en-GB"/>
        </w:rPr>
        <w:t xml:space="preserve">HE </w:t>
      </w:r>
      <w:proofErr w:type="gramStart"/>
      <w:r w:rsidR="004A2FCF" w:rsidRPr="006C29C0">
        <w:rPr>
          <w:rFonts w:asciiTheme="minorHAnsi" w:hAnsiTheme="minorHAnsi" w:cs="Arial"/>
          <w:sz w:val="24"/>
          <w:szCs w:val="24"/>
          <w:lang w:eastAsia="en-GB"/>
        </w:rPr>
        <w:t>pay</w:t>
      </w:r>
      <w:proofErr w:type="gramEnd"/>
      <w:r w:rsidR="004A2FCF" w:rsidRPr="006C29C0">
        <w:rPr>
          <w:rFonts w:asciiTheme="minorHAnsi" w:hAnsiTheme="minorHAnsi" w:cs="Arial"/>
          <w:sz w:val="24"/>
          <w:szCs w:val="24"/>
          <w:lang w:eastAsia="en-GB"/>
        </w:rPr>
        <w:t xml:space="preserve"> rate. Across the pay spine, </w:t>
      </w:r>
      <w:r w:rsidR="00DD4D67" w:rsidRPr="006C29C0">
        <w:rPr>
          <w:rFonts w:asciiTheme="minorHAnsi" w:hAnsiTheme="minorHAnsi" w:cs="Arial"/>
          <w:sz w:val="24"/>
          <w:szCs w:val="24"/>
          <w:lang w:eastAsia="en-GB"/>
        </w:rPr>
        <w:t xml:space="preserve">the lowest points have grown marginally more than the economy average, </w:t>
      </w:r>
      <w:r w:rsidR="001B17C9" w:rsidRPr="006C29C0">
        <w:rPr>
          <w:rFonts w:asciiTheme="minorHAnsi" w:hAnsiTheme="minorHAnsi" w:cs="Arial"/>
          <w:sz w:val="24"/>
          <w:szCs w:val="24"/>
          <w:lang w:eastAsia="en-GB"/>
        </w:rPr>
        <w:t xml:space="preserve">but among </w:t>
      </w:r>
      <w:r w:rsidR="00345DE2" w:rsidRPr="006C29C0">
        <w:rPr>
          <w:rFonts w:asciiTheme="minorHAnsi" w:hAnsiTheme="minorHAnsi" w:cs="Arial"/>
          <w:sz w:val="24"/>
          <w:szCs w:val="24"/>
          <w:lang w:eastAsia="en-GB"/>
        </w:rPr>
        <w:t>points 6-14 the relati</w:t>
      </w:r>
      <w:r w:rsidR="003041CF" w:rsidRPr="006C29C0">
        <w:rPr>
          <w:rFonts w:asciiTheme="minorHAnsi" w:hAnsiTheme="minorHAnsi" w:cs="Arial"/>
          <w:sz w:val="24"/>
          <w:szCs w:val="24"/>
          <w:lang w:eastAsia="en-GB"/>
        </w:rPr>
        <w:t>v</w:t>
      </w:r>
      <w:r w:rsidR="00345DE2" w:rsidRPr="006C29C0">
        <w:rPr>
          <w:rFonts w:asciiTheme="minorHAnsi" w:hAnsiTheme="minorHAnsi" w:cs="Arial"/>
          <w:sz w:val="24"/>
          <w:szCs w:val="24"/>
          <w:lang w:eastAsia="en-GB"/>
        </w:rPr>
        <w:t>e de</w:t>
      </w:r>
      <w:r w:rsidR="003041CF" w:rsidRPr="006C29C0">
        <w:rPr>
          <w:rFonts w:asciiTheme="minorHAnsi" w:hAnsiTheme="minorHAnsi" w:cs="Arial"/>
          <w:sz w:val="24"/>
          <w:szCs w:val="24"/>
          <w:lang w:eastAsia="en-GB"/>
        </w:rPr>
        <w:t>c</w:t>
      </w:r>
      <w:r w:rsidR="00345DE2" w:rsidRPr="006C29C0">
        <w:rPr>
          <w:rFonts w:asciiTheme="minorHAnsi" w:hAnsiTheme="minorHAnsi" w:cs="Arial"/>
          <w:sz w:val="24"/>
          <w:szCs w:val="24"/>
          <w:lang w:eastAsia="en-GB"/>
        </w:rPr>
        <w:t>line against average pay has been 7.2% and across the top half of the pay sc</w:t>
      </w:r>
      <w:r w:rsidR="003041CF" w:rsidRPr="006C29C0">
        <w:rPr>
          <w:rFonts w:asciiTheme="minorHAnsi" w:hAnsiTheme="minorHAnsi" w:cs="Arial"/>
          <w:sz w:val="24"/>
          <w:szCs w:val="24"/>
          <w:lang w:eastAsia="en-GB"/>
        </w:rPr>
        <w:t>a</w:t>
      </w:r>
      <w:r w:rsidR="00345DE2" w:rsidRPr="006C29C0">
        <w:rPr>
          <w:rFonts w:asciiTheme="minorHAnsi" w:hAnsiTheme="minorHAnsi" w:cs="Arial"/>
          <w:sz w:val="24"/>
          <w:szCs w:val="24"/>
          <w:lang w:eastAsia="en-GB"/>
        </w:rPr>
        <w:t xml:space="preserve">le </w:t>
      </w:r>
      <w:r w:rsidR="003041CF" w:rsidRPr="006C29C0">
        <w:rPr>
          <w:rFonts w:asciiTheme="minorHAnsi" w:hAnsiTheme="minorHAnsi" w:cs="Arial"/>
          <w:sz w:val="24"/>
          <w:szCs w:val="24"/>
          <w:lang w:eastAsia="en-GB"/>
        </w:rPr>
        <w:t>it has been 16%.</w:t>
      </w:r>
    </w:p>
    <w:p w14:paraId="69AFF892" w14:textId="7D82C1AF" w:rsidR="0031669A" w:rsidRPr="006C29C0" w:rsidRDefault="003B5C5C" w:rsidP="009C109B">
      <w:pPr>
        <w:spacing w:before="120" w:after="120" w:line="276" w:lineRule="auto"/>
        <w:rPr>
          <w:rFonts w:asciiTheme="minorHAnsi" w:eastAsia="Times New Roman" w:hAnsiTheme="minorHAnsi" w:cs="Arial"/>
          <w:sz w:val="24"/>
          <w:szCs w:val="24"/>
        </w:rPr>
      </w:pPr>
      <w:r w:rsidRPr="006C29C0">
        <w:rPr>
          <w:rFonts w:asciiTheme="minorHAnsi" w:hAnsiTheme="minorHAnsi" w:cs="Arial"/>
          <w:sz w:val="24"/>
          <w:szCs w:val="24"/>
          <w:lang w:eastAsia="en-GB"/>
        </w:rPr>
        <w:t>G</w:t>
      </w:r>
      <w:r w:rsidR="0031669A" w:rsidRPr="006C29C0">
        <w:rPr>
          <w:rFonts w:asciiTheme="minorHAnsi" w:hAnsiTheme="minorHAnsi" w:cs="Arial"/>
          <w:sz w:val="24"/>
          <w:szCs w:val="24"/>
          <w:lang w:eastAsia="en-GB"/>
        </w:rPr>
        <w:t xml:space="preserve">iven that average earnings </w:t>
      </w:r>
      <w:r w:rsidRPr="006C29C0">
        <w:rPr>
          <w:rFonts w:asciiTheme="minorHAnsi" w:hAnsiTheme="minorHAnsi" w:cs="Arial"/>
          <w:sz w:val="24"/>
          <w:szCs w:val="24"/>
          <w:lang w:eastAsia="en-GB"/>
        </w:rPr>
        <w:t xml:space="preserve">are currently </w:t>
      </w:r>
      <w:r w:rsidR="0031669A" w:rsidRPr="006C29C0">
        <w:rPr>
          <w:rFonts w:asciiTheme="minorHAnsi" w:hAnsiTheme="minorHAnsi" w:cs="Arial"/>
          <w:sz w:val="24"/>
          <w:szCs w:val="24"/>
          <w:lang w:eastAsia="en-GB"/>
        </w:rPr>
        <w:t>continu</w:t>
      </w:r>
      <w:r w:rsidRPr="006C29C0">
        <w:rPr>
          <w:rFonts w:asciiTheme="minorHAnsi" w:hAnsiTheme="minorHAnsi" w:cs="Arial"/>
          <w:sz w:val="24"/>
          <w:szCs w:val="24"/>
          <w:lang w:eastAsia="en-GB"/>
        </w:rPr>
        <w:t>ing</w:t>
      </w:r>
      <w:r w:rsidR="0031669A" w:rsidRPr="006C29C0">
        <w:rPr>
          <w:rFonts w:asciiTheme="minorHAnsi" w:hAnsiTheme="minorHAnsi" w:cs="Arial"/>
          <w:sz w:val="24"/>
          <w:szCs w:val="24"/>
          <w:lang w:eastAsia="en-GB"/>
        </w:rPr>
        <w:t xml:space="preserve"> to grow across the economy at an average of 5.6%</w:t>
      </w:r>
      <w:r w:rsidR="0031669A" w:rsidRPr="006C29C0">
        <w:rPr>
          <w:rStyle w:val="FootnoteReference"/>
          <w:rFonts w:asciiTheme="minorHAnsi" w:hAnsiTheme="minorHAnsi" w:cs="Arial"/>
          <w:sz w:val="24"/>
          <w:szCs w:val="24"/>
          <w:lang w:eastAsia="en-GB"/>
        </w:rPr>
        <w:footnoteReference w:id="8"/>
      </w:r>
      <w:r w:rsidRPr="006C29C0">
        <w:rPr>
          <w:rFonts w:asciiTheme="minorHAnsi" w:hAnsiTheme="minorHAnsi" w:cs="Arial"/>
          <w:sz w:val="24"/>
          <w:szCs w:val="24"/>
          <w:lang w:eastAsia="en-GB"/>
        </w:rPr>
        <w:t xml:space="preserve">, </w:t>
      </w:r>
      <w:r w:rsidR="00AF7A5A" w:rsidRPr="006C29C0">
        <w:rPr>
          <w:rFonts w:asciiTheme="minorHAnsi" w:hAnsiTheme="minorHAnsi" w:cs="Arial"/>
          <w:sz w:val="24"/>
          <w:szCs w:val="24"/>
          <w:lang w:eastAsia="en-GB"/>
        </w:rPr>
        <w:t>substantial increases are necessary simply to arrest any further decline in the competitiveness of HE wages on the labour market</w:t>
      </w:r>
      <w:r w:rsidR="0031669A" w:rsidRPr="006C29C0">
        <w:rPr>
          <w:rFonts w:asciiTheme="minorHAnsi" w:hAnsiTheme="minorHAnsi" w:cs="Arial"/>
          <w:sz w:val="24"/>
          <w:szCs w:val="24"/>
          <w:lang w:eastAsia="en-GB"/>
        </w:rPr>
        <w:t>.</w:t>
      </w:r>
    </w:p>
    <w:p w14:paraId="04695DF4" w14:textId="77777777" w:rsidR="000712C8" w:rsidRPr="006C29C0" w:rsidRDefault="000712C8" w:rsidP="009C109B">
      <w:pPr>
        <w:pStyle w:val="Bodycopy"/>
        <w:keepNext w:val="0"/>
        <w:rPr>
          <w:rFonts w:asciiTheme="minorHAnsi" w:hAnsiTheme="minorHAnsi"/>
          <w:sz w:val="24"/>
          <w:szCs w:val="24"/>
        </w:rPr>
      </w:pPr>
    </w:p>
    <w:p w14:paraId="04A7C538" w14:textId="3E5A32AD" w:rsidR="000712C8" w:rsidRPr="006C29C0" w:rsidRDefault="00CB56D6" w:rsidP="009C109B">
      <w:pPr>
        <w:spacing w:before="120" w:after="120" w:line="276" w:lineRule="auto"/>
        <w:rPr>
          <w:rFonts w:asciiTheme="minorHAnsi" w:hAnsiTheme="minorHAnsi" w:cs="Arial"/>
          <w:b/>
          <w:bCs/>
          <w:sz w:val="24"/>
          <w:szCs w:val="24"/>
        </w:rPr>
      </w:pPr>
      <w:r w:rsidRPr="006C29C0">
        <w:rPr>
          <w:rFonts w:asciiTheme="minorHAnsi" w:hAnsiTheme="minorHAnsi" w:cs="Arial"/>
          <w:b/>
          <w:bCs/>
          <w:sz w:val="24"/>
          <w:szCs w:val="24"/>
        </w:rPr>
        <w:t>Living Wage</w:t>
      </w:r>
    </w:p>
    <w:p w14:paraId="3345A79F" w14:textId="77777777" w:rsidR="000712C8" w:rsidRPr="006C29C0" w:rsidRDefault="000712C8" w:rsidP="009C109B">
      <w:pPr>
        <w:spacing w:before="120" w:after="120" w:line="276" w:lineRule="auto"/>
        <w:rPr>
          <w:rFonts w:asciiTheme="minorHAnsi" w:hAnsiTheme="minorHAnsi" w:cs="Arial"/>
          <w:sz w:val="24"/>
          <w:szCs w:val="24"/>
        </w:rPr>
      </w:pPr>
      <w:r w:rsidRPr="006C29C0">
        <w:rPr>
          <w:rFonts w:asciiTheme="minorHAnsi" w:hAnsiTheme="minorHAnsi" w:cs="Arial"/>
          <w:sz w:val="24"/>
          <w:szCs w:val="24"/>
        </w:rPr>
        <w:t>The Living Wage has become a standard benchmark for the minimum needed for low-paid staff to have a “basic but acceptable” standard of living.</w:t>
      </w:r>
    </w:p>
    <w:p w14:paraId="123C5409" w14:textId="0FE95470" w:rsidR="000712C8" w:rsidRPr="006C29C0" w:rsidRDefault="00CB56D6" w:rsidP="009C109B">
      <w:pPr>
        <w:spacing w:before="120" w:after="120" w:line="276" w:lineRule="auto"/>
        <w:rPr>
          <w:rFonts w:asciiTheme="minorHAnsi" w:hAnsiTheme="minorHAnsi" w:cs="Arial"/>
          <w:sz w:val="24"/>
          <w:szCs w:val="24"/>
        </w:rPr>
      </w:pPr>
      <w:r w:rsidRPr="006C29C0">
        <w:rPr>
          <w:rFonts w:asciiTheme="minorHAnsi" w:hAnsiTheme="minorHAnsi" w:cs="Arial"/>
          <w:bCs/>
          <w:sz w:val="24"/>
          <w:szCs w:val="24"/>
          <w:lang w:eastAsia="en-GB"/>
        </w:rPr>
        <w:lastRenderedPageBreak/>
        <w:t xml:space="preserve">Higher </w:t>
      </w:r>
      <w:r w:rsidR="00183704" w:rsidRPr="006C29C0">
        <w:rPr>
          <w:rFonts w:asciiTheme="minorHAnsi" w:hAnsiTheme="minorHAnsi" w:cs="Arial"/>
          <w:bCs/>
          <w:sz w:val="24"/>
          <w:szCs w:val="24"/>
          <w:lang w:eastAsia="en-GB"/>
        </w:rPr>
        <w:t>e</w:t>
      </w:r>
      <w:r w:rsidRPr="006C29C0">
        <w:rPr>
          <w:rFonts w:asciiTheme="minorHAnsi" w:hAnsiTheme="minorHAnsi" w:cs="Arial"/>
          <w:bCs/>
          <w:sz w:val="24"/>
          <w:szCs w:val="24"/>
          <w:lang w:eastAsia="en-GB"/>
        </w:rPr>
        <w:t xml:space="preserve">ducation </w:t>
      </w:r>
      <w:r w:rsidR="00183704" w:rsidRPr="006C29C0">
        <w:rPr>
          <w:rFonts w:asciiTheme="minorHAnsi" w:hAnsiTheme="minorHAnsi" w:cs="Arial"/>
          <w:bCs/>
          <w:sz w:val="24"/>
          <w:szCs w:val="24"/>
          <w:lang w:eastAsia="en-GB"/>
        </w:rPr>
        <w:t>i</w:t>
      </w:r>
      <w:r w:rsidRPr="006C29C0">
        <w:rPr>
          <w:rFonts w:asciiTheme="minorHAnsi" w:hAnsiTheme="minorHAnsi" w:cs="Arial"/>
          <w:bCs/>
          <w:sz w:val="24"/>
          <w:szCs w:val="24"/>
          <w:lang w:eastAsia="en-GB"/>
        </w:rPr>
        <w:t>nstitutions are</w:t>
      </w:r>
      <w:r w:rsidR="000712C8" w:rsidRPr="006C29C0">
        <w:rPr>
          <w:rFonts w:asciiTheme="minorHAnsi" w:hAnsiTheme="minorHAnsi" w:cs="Arial"/>
          <w:sz w:val="24"/>
          <w:szCs w:val="24"/>
          <w:lang w:eastAsia="en-GB"/>
        </w:rPr>
        <w:t xml:space="preserve"> now competing in a labour market where the </w:t>
      </w:r>
      <w:r w:rsidR="000712C8" w:rsidRPr="006C29C0">
        <w:rPr>
          <w:rFonts w:asciiTheme="minorHAnsi" w:hAnsiTheme="minorHAnsi" w:cs="Arial"/>
          <w:sz w:val="24"/>
          <w:szCs w:val="24"/>
        </w:rPr>
        <w:t xml:space="preserve">Living Wage of £12.60 an hour outside London and £13.85 an hour in London has become an increasingly common minimum point in the pay scale. </w:t>
      </w:r>
    </w:p>
    <w:p w14:paraId="2F708582" w14:textId="77777777" w:rsidR="000712C8" w:rsidRPr="006C29C0" w:rsidRDefault="000712C8" w:rsidP="009C109B">
      <w:pPr>
        <w:spacing w:before="120" w:after="120" w:line="276" w:lineRule="auto"/>
        <w:rPr>
          <w:rFonts w:asciiTheme="minorHAnsi" w:hAnsiTheme="minorHAnsi" w:cs="Arial"/>
          <w:sz w:val="24"/>
          <w:szCs w:val="24"/>
        </w:rPr>
      </w:pPr>
      <w:r w:rsidRPr="006C29C0">
        <w:rPr>
          <w:rFonts w:asciiTheme="minorHAnsi" w:hAnsiTheme="minorHAnsi" w:cs="Arial"/>
          <w:sz w:val="24"/>
          <w:szCs w:val="24"/>
        </w:rPr>
        <w:t>Studies supported by Barclays Bank have shown that Living Wage employers report an increase in productivity, a reduction in staff turnover / absenteeism rates and improvements in their public reputation.</w:t>
      </w:r>
    </w:p>
    <w:p w14:paraId="0ABE9476" w14:textId="77777777" w:rsidR="000712C8" w:rsidRPr="006C29C0" w:rsidRDefault="000712C8" w:rsidP="009C109B">
      <w:pPr>
        <w:spacing w:before="120" w:after="120" w:line="276" w:lineRule="auto"/>
        <w:rPr>
          <w:rFonts w:asciiTheme="minorHAnsi" w:hAnsiTheme="minorHAnsi" w:cs="Arial"/>
          <w:sz w:val="24"/>
          <w:szCs w:val="24"/>
        </w:rPr>
      </w:pPr>
      <w:r w:rsidRPr="006C29C0">
        <w:rPr>
          <w:rFonts w:asciiTheme="minorHAnsi" w:hAnsiTheme="minorHAnsi" w:cs="Arial"/>
          <w:sz w:val="24"/>
          <w:szCs w:val="24"/>
        </w:rPr>
        <w:t>Consequently, there are now over 15,000 employers accredited as Living Wage employers by the Living Wage Foundation, including almost half of the largest companies listed on the UK Stock Exchange and household names such as Aviva, Barclays, HSBC, Nationwide, Google and IKEA are among them.</w:t>
      </w:r>
    </w:p>
    <w:p w14:paraId="4C522A3D" w14:textId="31683476" w:rsidR="000712C8" w:rsidRPr="006C29C0" w:rsidRDefault="000712C8" w:rsidP="009C109B">
      <w:pPr>
        <w:shd w:val="clear" w:color="auto" w:fill="FFFFFF"/>
        <w:spacing w:before="120" w:after="120" w:line="276" w:lineRule="auto"/>
        <w:rPr>
          <w:rFonts w:asciiTheme="minorHAnsi" w:eastAsia="Times New Roman" w:hAnsiTheme="minorHAnsi" w:cs="Arial"/>
          <w:sz w:val="24"/>
          <w:szCs w:val="24"/>
        </w:rPr>
      </w:pPr>
      <w:r w:rsidRPr="006C29C0">
        <w:rPr>
          <w:rFonts w:asciiTheme="minorHAnsi" w:eastAsia="Times New Roman" w:hAnsiTheme="minorHAnsi" w:cs="Arial"/>
          <w:sz w:val="24"/>
          <w:szCs w:val="24"/>
        </w:rPr>
        <w:t xml:space="preserve">The precedent of the Living Wage, in tandem with recruitment and retention pressures, has also pushed major employers of low-paid staff in the retail sector to increase pay. </w:t>
      </w:r>
      <w:r w:rsidRPr="006C29C0">
        <w:rPr>
          <w:rFonts w:asciiTheme="minorHAnsi" w:hAnsiTheme="minorHAnsi" w:cs="Arial"/>
          <w:sz w:val="24"/>
          <w:szCs w:val="24"/>
        </w:rPr>
        <w:t>Sainsbury’s and Argos workers are set to see a rise from £12 to £12.45 per hour in March 2025 before a further increase to £12.60 in August</w:t>
      </w:r>
      <w:r w:rsidR="005E42B3">
        <w:rPr>
          <w:rFonts w:asciiTheme="minorHAnsi" w:hAnsiTheme="minorHAnsi" w:cs="Arial"/>
          <w:sz w:val="24"/>
          <w:szCs w:val="24"/>
        </w:rPr>
        <w:t>, w</w:t>
      </w:r>
      <w:r w:rsidRPr="006C29C0">
        <w:rPr>
          <w:rFonts w:asciiTheme="minorHAnsi" w:hAnsiTheme="minorHAnsi" w:cs="Arial"/>
          <w:sz w:val="24"/>
          <w:szCs w:val="24"/>
        </w:rPr>
        <w:t>hile Lidl and Aldi have pushed rates for customer service roles in stores to up to £14 an hour</w:t>
      </w:r>
      <w:r w:rsidRPr="006C29C0">
        <w:rPr>
          <w:rFonts w:asciiTheme="minorHAnsi" w:eastAsia="Times New Roman" w:hAnsiTheme="minorHAnsi" w:cs="Arial"/>
          <w:sz w:val="24"/>
          <w:szCs w:val="24"/>
        </w:rPr>
        <w:t>. Similarly, Amazon raised its rate for</w:t>
      </w:r>
      <w:r w:rsidRPr="006C29C0">
        <w:rPr>
          <w:rFonts w:asciiTheme="minorHAnsi" w:eastAsia="Times New Roman" w:hAnsiTheme="minorHAnsi" w:cs="Arial"/>
          <w:b/>
          <w:bCs/>
          <w:sz w:val="24"/>
          <w:szCs w:val="24"/>
        </w:rPr>
        <w:t xml:space="preserve"> </w:t>
      </w:r>
      <w:r w:rsidRPr="006C29C0">
        <w:rPr>
          <w:rFonts w:asciiTheme="minorHAnsi" w:eastAsia="Times New Roman" w:hAnsiTheme="minorHAnsi" w:cs="Arial"/>
          <w:sz w:val="24"/>
          <w:szCs w:val="24"/>
        </w:rPr>
        <w:t>frontline operations staff to between £13.50 and £14.50 per hour, depending on location, toward the end of 2024.</w:t>
      </w:r>
    </w:p>
    <w:p w14:paraId="072B48EB" w14:textId="77777777" w:rsidR="000712C8" w:rsidRPr="006C29C0" w:rsidRDefault="000712C8" w:rsidP="009C109B">
      <w:pPr>
        <w:spacing w:before="120" w:after="120" w:line="276" w:lineRule="auto"/>
        <w:rPr>
          <w:rFonts w:asciiTheme="minorHAnsi" w:eastAsia="Times New Roman" w:hAnsiTheme="minorHAnsi" w:cs="Arial"/>
          <w:sz w:val="24"/>
          <w:szCs w:val="24"/>
        </w:rPr>
      </w:pPr>
      <w:r w:rsidRPr="006C29C0">
        <w:rPr>
          <w:rFonts w:asciiTheme="minorHAnsi" w:hAnsiTheme="minorHAnsi" w:cs="Arial"/>
          <w:sz w:val="24"/>
          <w:szCs w:val="24"/>
        </w:rPr>
        <w:t xml:space="preserve">Within the public sector, the Living Wage has now long been set as the minimum pay rate across all Scotland’s public sector organisations and this was extended to </w:t>
      </w:r>
      <w:r w:rsidRPr="006C29C0">
        <w:rPr>
          <w:rFonts w:asciiTheme="minorHAnsi" w:eastAsia="Times New Roman" w:hAnsiTheme="minorHAnsi" w:cs="Arial"/>
          <w:sz w:val="24"/>
          <w:szCs w:val="24"/>
        </w:rPr>
        <w:t xml:space="preserve">social care workers in Scotland’s private and voluntary sector from October 2016. The Welsh Government committed to achieving the same goal in social care by 2024. </w:t>
      </w:r>
    </w:p>
    <w:p w14:paraId="10FE31FE" w14:textId="7CD4915C" w:rsidR="00F25F72" w:rsidRPr="006C29C0" w:rsidRDefault="00F25F72" w:rsidP="009C109B">
      <w:pPr>
        <w:spacing w:before="120" w:after="120" w:line="276" w:lineRule="auto"/>
        <w:rPr>
          <w:rFonts w:asciiTheme="minorHAnsi" w:eastAsia="Times New Roman" w:hAnsiTheme="minorHAnsi" w:cs="Arial"/>
          <w:sz w:val="24"/>
          <w:szCs w:val="24"/>
        </w:rPr>
      </w:pPr>
      <w:r w:rsidRPr="006C29C0">
        <w:rPr>
          <w:rFonts w:asciiTheme="minorHAnsi" w:eastAsia="Times New Roman" w:hAnsiTheme="minorHAnsi" w:cs="Arial"/>
          <w:sz w:val="24"/>
          <w:szCs w:val="24"/>
        </w:rPr>
        <w:t xml:space="preserve">The graph below </w:t>
      </w:r>
      <w:r w:rsidR="00DC2BBA" w:rsidRPr="006C29C0">
        <w:rPr>
          <w:rFonts w:asciiTheme="minorHAnsi" w:eastAsia="Times New Roman" w:hAnsiTheme="minorHAnsi" w:cs="Arial"/>
          <w:sz w:val="24"/>
          <w:szCs w:val="24"/>
        </w:rPr>
        <w:t xml:space="preserve">shows how the bottom </w:t>
      </w:r>
      <w:proofErr w:type="gramStart"/>
      <w:r w:rsidR="00D56DC3" w:rsidRPr="006C29C0">
        <w:rPr>
          <w:rFonts w:asciiTheme="minorHAnsi" w:eastAsia="Times New Roman" w:hAnsiTheme="minorHAnsi" w:cs="Arial"/>
          <w:sz w:val="24"/>
          <w:szCs w:val="24"/>
        </w:rPr>
        <w:t>pay</w:t>
      </w:r>
      <w:proofErr w:type="gramEnd"/>
      <w:r w:rsidR="00D56DC3" w:rsidRPr="006C29C0">
        <w:rPr>
          <w:rFonts w:asciiTheme="minorHAnsi" w:eastAsia="Times New Roman" w:hAnsiTheme="minorHAnsi" w:cs="Arial"/>
          <w:sz w:val="24"/>
          <w:szCs w:val="24"/>
        </w:rPr>
        <w:t xml:space="preserve"> spine rates </w:t>
      </w:r>
      <w:r w:rsidR="00AA3C17" w:rsidRPr="006C29C0">
        <w:rPr>
          <w:rFonts w:asciiTheme="minorHAnsi" w:eastAsia="Times New Roman" w:hAnsiTheme="minorHAnsi" w:cs="Arial"/>
          <w:sz w:val="24"/>
          <w:szCs w:val="24"/>
        </w:rPr>
        <w:t xml:space="preserve">among higher education institutions </w:t>
      </w:r>
      <w:r w:rsidR="00D56DC3" w:rsidRPr="006C29C0">
        <w:rPr>
          <w:rFonts w:asciiTheme="minorHAnsi" w:eastAsia="Times New Roman" w:hAnsiTheme="minorHAnsi" w:cs="Arial"/>
          <w:sz w:val="24"/>
          <w:szCs w:val="24"/>
        </w:rPr>
        <w:t xml:space="preserve">compare against the £12.21 an hour National Minimum Wage set to come into force from April and the </w:t>
      </w:r>
      <w:r w:rsidR="00406DDF" w:rsidRPr="006C29C0">
        <w:rPr>
          <w:rFonts w:asciiTheme="minorHAnsi" w:eastAsia="Times New Roman" w:hAnsiTheme="minorHAnsi" w:cs="Arial"/>
          <w:sz w:val="24"/>
          <w:szCs w:val="24"/>
        </w:rPr>
        <w:t>£12.60 an hour Living Wage applicable outside London</w:t>
      </w:r>
      <w:r w:rsidR="00AA3C17" w:rsidRPr="006C29C0">
        <w:rPr>
          <w:rFonts w:asciiTheme="minorHAnsi" w:eastAsia="Times New Roman" w:hAnsiTheme="minorHAnsi" w:cs="Arial"/>
          <w:sz w:val="24"/>
          <w:szCs w:val="24"/>
        </w:rPr>
        <w:t xml:space="preserve"> from May</w:t>
      </w:r>
      <w:r w:rsidR="00406DDF" w:rsidRPr="006C29C0">
        <w:rPr>
          <w:rFonts w:asciiTheme="minorHAnsi" w:eastAsia="Times New Roman" w:hAnsiTheme="minorHAnsi" w:cs="Arial"/>
          <w:sz w:val="24"/>
          <w:szCs w:val="24"/>
        </w:rPr>
        <w:t>.</w:t>
      </w:r>
    </w:p>
    <w:p w14:paraId="66F30D94" w14:textId="095802EA" w:rsidR="00DC2BBA" w:rsidRPr="006C29C0" w:rsidRDefault="00DC2BBA" w:rsidP="009C109B">
      <w:pPr>
        <w:spacing w:before="120"/>
        <w:rPr>
          <w:rFonts w:asciiTheme="minorHAnsi" w:eastAsia="Times New Roman" w:hAnsiTheme="minorHAnsi" w:cs="Arial"/>
          <w:sz w:val="24"/>
          <w:szCs w:val="24"/>
        </w:rPr>
      </w:pPr>
      <w:r w:rsidRPr="006C29C0">
        <w:rPr>
          <w:rFonts w:asciiTheme="minorHAnsi" w:hAnsiTheme="minorHAnsi"/>
          <w:noProof/>
          <w:sz w:val="24"/>
          <w:szCs w:val="24"/>
        </w:rPr>
        <w:drawing>
          <wp:inline distT="0" distB="0" distL="0" distR="0" wp14:anchorId="1074860E" wp14:editId="61477FA8">
            <wp:extent cx="4572000" cy="2743200"/>
            <wp:effectExtent l="0" t="0" r="0" b="0"/>
            <wp:docPr id="1093463552" name="Chart 1">
              <a:extLst xmlns:a="http://schemas.openxmlformats.org/drawingml/2006/main">
                <a:ext uri="{FF2B5EF4-FFF2-40B4-BE49-F238E27FC236}">
                  <a16:creationId xmlns:a16="http://schemas.microsoft.com/office/drawing/2014/main" id="{F6C99E28-D5FA-4B6F-92C6-85B1946B5F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0E7B8C1" w14:textId="77777777" w:rsidR="000712C8" w:rsidRPr="006C29C0" w:rsidRDefault="000712C8" w:rsidP="009C109B">
      <w:pPr>
        <w:pStyle w:val="Bodycopy"/>
        <w:keepNext w:val="0"/>
        <w:rPr>
          <w:rFonts w:asciiTheme="minorHAnsi" w:hAnsiTheme="minorHAnsi"/>
          <w:color w:val="auto"/>
          <w:sz w:val="24"/>
          <w:szCs w:val="24"/>
        </w:rPr>
      </w:pPr>
    </w:p>
    <w:p w14:paraId="126C77D6" w14:textId="45150398" w:rsidR="0003468F" w:rsidRDefault="00A62D3E" w:rsidP="009C109B">
      <w:pPr>
        <w:spacing w:before="120" w:after="120" w:line="276" w:lineRule="auto"/>
        <w:rPr>
          <w:rFonts w:asciiTheme="minorHAnsi" w:hAnsiTheme="minorHAnsi" w:cs="Arial"/>
          <w:sz w:val="24"/>
          <w:szCs w:val="24"/>
        </w:rPr>
      </w:pPr>
      <w:r w:rsidRPr="006C29C0">
        <w:rPr>
          <w:rFonts w:asciiTheme="minorHAnsi" w:hAnsiTheme="minorHAnsi" w:cs="Arial"/>
          <w:sz w:val="24"/>
          <w:szCs w:val="24"/>
        </w:rPr>
        <w:lastRenderedPageBreak/>
        <w:t xml:space="preserve">On a </w:t>
      </w:r>
      <w:proofErr w:type="gramStart"/>
      <w:r w:rsidRPr="006C29C0">
        <w:rPr>
          <w:rFonts w:asciiTheme="minorHAnsi" w:hAnsiTheme="minorHAnsi" w:cs="Arial"/>
          <w:sz w:val="24"/>
          <w:szCs w:val="24"/>
        </w:rPr>
        <w:t>37 hour</w:t>
      </w:r>
      <w:proofErr w:type="gramEnd"/>
      <w:r w:rsidRPr="006C29C0">
        <w:rPr>
          <w:rFonts w:asciiTheme="minorHAnsi" w:hAnsiTheme="minorHAnsi" w:cs="Arial"/>
          <w:sz w:val="24"/>
          <w:szCs w:val="24"/>
        </w:rPr>
        <w:t xml:space="preserve"> week, all point</w:t>
      </w:r>
      <w:r w:rsidR="00EA7D71" w:rsidRPr="006C29C0">
        <w:rPr>
          <w:rFonts w:asciiTheme="minorHAnsi" w:hAnsiTheme="minorHAnsi" w:cs="Arial"/>
          <w:sz w:val="24"/>
          <w:szCs w:val="24"/>
        </w:rPr>
        <w:t>s</w:t>
      </w:r>
      <w:r w:rsidRPr="006C29C0">
        <w:rPr>
          <w:rFonts w:asciiTheme="minorHAnsi" w:hAnsiTheme="minorHAnsi" w:cs="Arial"/>
          <w:sz w:val="24"/>
          <w:szCs w:val="24"/>
        </w:rPr>
        <w:t xml:space="preserve"> up to </w:t>
      </w:r>
      <w:r w:rsidR="00E421A1" w:rsidRPr="006C29C0">
        <w:rPr>
          <w:rFonts w:asciiTheme="minorHAnsi" w:hAnsiTheme="minorHAnsi" w:cs="Arial"/>
          <w:sz w:val="24"/>
          <w:szCs w:val="24"/>
        </w:rPr>
        <w:t xml:space="preserve">pay point 10 </w:t>
      </w:r>
      <w:r w:rsidR="00013EE5" w:rsidRPr="006C29C0">
        <w:rPr>
          <w:rFonts w:asciiTheme="minorHAnsi" w:hAnsiTheme="minorHAnsi" w:cs="Arial"/>
          <w:sz w:val="24"/>
          <w:szCs w:val="24"/>
        </w:rPr>
        <w:t xml:space="preserve">fall below the 2025 National Minimum Wage and </w:t>
      </w:r>
      <w:r w:rsidR="004216DC" w:rsidRPr="006C29C0">
        <w:rPr>
          <w:rFonts w:asciiTheme="minorHAnsi" w:hAnsiTheme="minorHAnsi" w:cs="Arial"/>
          <w:sz w:val="24"/>
          <w:szCs w:val="24"/>
        </w:rPr>
        <w:t xml:space="preserve">it’s necessary to go up to pay point 13 for the first </w:t>
      </w:r>
      <w:r w:rsidR="00EA7D71" w:rsidRPr="006C29C0">
        <w:rPr>
          <w:rFonts w:asciiTheme="minorHAnsi" w:hAnsiTheme="minorHAnsi" w:cs="Arial"/>
          <w:sz w:val="24"/>
          <w:szCs w:val="24"/>
        </w:rPr>
        <w:t>to reach the Foundation Living Wage.</w:t>
      </w:r>
    </w:p>
    <w:p w14:paraId="0023C81C" w14:textId="77777777" w:rsidR="009F0275" w:rsidRDefault="009F0275" w:rsidP="009C109B">
      <w:pPr>
        <w:spacing w:before="120" w:after="120" w:line="276" w:lineRule="auto"/>
        <w:rPr>
          <w:rFonts w:asciiTheme="minorHAnsi" w:hAnsiTheme="minorHAnsi" w:cs="Arial"/>
          <w:sz w:val="24"/>
          <w:szCs w:val="24"/>
        </w:rPr>
      </w:pPr>
    </w:p>
    <w:p w14:paraId="7ECA39C8" w14:textId="0CBAE7C6" w:rsidR="005E42B3" w:rsidRPr="009F0275" w:rsidRDefault="000D48AF" w:rsidP="009F0275">
      <w:pPr>
        <w:spacing w:after="240"/>
        <w:rPr>
          <w:rFonts w:asciiTheme="minorHAnsi" w:hAnsiTheme="minorHAnsi"/>
          <w:b/>
          <w:bCs/>
          <w:sz w:val="24"/>
          <w:szCs w:val="24"/>
        </w:rPr>
      </w:pPr>
      <w:r w:rsidRPr="009F0275">
        <w:rPr>
          <w:rFonts w:asciiTheme="minorHAnsi" w:hAnsiTheme="minorHAnsi"/>
          <w:b/>
          <w:bCs/>
          <w:sz w:val="24"/>
          <w:szCs w:val="24"/>
        </w:rPr>
        <w:t>Job cuts and course closures</w:t>
      </w:r>
    </w:p>
    <w:p w14:paraId="607F792A" w14:textId="4102C060" w:rsidR="00252F3D" w:rsidRDefault="005E7ABB" w:rsidP="009C109B">
      <w:pPr>
        <w:rPr>
          <w:rFonts w:asciiTheme="minorHAnsi" w:eastAsia="Calibri" w:hAnsiTheme="minorHAnsi" w:cs="Calibri"/>
          <w:sz w:val="24"/>
          <w:szCs w:val="24"/>
          <w14:ligatures w14:val="none"/>
        </w:rPr>
      </w:pPr>
      <w:r w:rsidRPr="00616C02">
        <w:rPr>
          <w:rFonts w:asciiTheme="minorHAnsi" w:eastAsia="Calibri" w:hAnsiTheme="minorHAnsi" w:cs="Calibri"/>
          <w:sz w:val="24"/>
          <w:szCs w:val="24"/>
          <w14:ligatures w14:val="none"/>
        </w:rPr>
        <w:t xml:space="preserve">The unions call on UCEA to undertake further joint work to </w:t>
      </w:r>
      <w:r w:rsidR="00126DD7">
        <w:rPr>
          <w:rFonts w:asciiTheme="minorHAnsi" w:eastAsia="Calibri" w:hAnsiTheme="minorHAnsi" w:cs="Calibri"/>
          <w:sz w:val="24"/>
          <w:szCs w:val="24"/>
          <w14:ligatures w14:val="none"/>
        </w:rPr>
        <w:t>halt</w:t>
      </w:r>
      <w:r w:rsidRPr="00616C02">
        <w:rPr>
          <w:rFonts w:asciiTheme="minorHAnsi" w:eastAsia="Calibri" w:hAnsiTheme="minorHAnsi" w:cs="Calibri"/>
          <w:sz w:val="24"/>
          <w:szCs w:val="24"/>
          <w14:ligatures w14:val="none"/>
        </w:rPr>
        <w:t xml:space="preserve"> redundancies</w:t>
      </w:r>
      <w:r w:rsidR="00D566BD">
        <w:rPr>
          <w:rFonts w:asciiTheme="minorHAnsi" w:eastAsia="Calibri" w:hAnsiTheme="minorHAnsi" w:cs="Calibri"/>
          <w:sz w:val="24"/>
          <w:szCs w:val="24"/>
          <w14:ligatures w14:val="none"/>
        </w:rPr>
        <w:t xml:space="preserve"> and </w:t>
      </w:r>
      <w:r w:rsidRPr="00616C02">
        <w:rPr>
          <w:rFonts w:asciiTheme="minorHAnsi" w:eastAsia="Calibri" w:hAnsiTheme="minorHAnsi" w:cs="Calibri"/>
          <w:sz w:val="24"/>
          <w:szCs w:val="24"/>
          <w14:ligatures w14:val="none"/>
        </w:rPr>
        <w:t>course closures</w:t>
      </w:r>
      <w:r w:rsidR="004E371F">
        <w:rPr>
          <w:rFonts w:asciiTheme="minorHAnsi" w:eastAsia="Calibri" w:hAnsiTheme="minorHAnsi" w:cs="Calibri"/>
          <w:sz w:val="24"/>
          <w:szCs w:val="24"/>
          <w14:ligatures w14:val="none"/>
        </w:rPr>
        <w:t xml:space="preserve">. </w:t>
      </w:r>
    </w:p>
    <w:p w14:paraId="0F126BCA" w14:textId="77777777" w:rsidR="005E42B3" w:rsidRDefault="005E42B3" w:rsidP="009C109B">
      <w:pPr>
        <w:rPr>
          <w:rFonts w:asciiTheme="minorHAnsi" w:eastAsia="Calibri" w:hAnsiTheme="minorHAnsi" w:cs="Calibri"/>
          <w:sz w:val="24"/>
          <w:szCs w:val="24"/>
          <w14:ligatures w14:val="none"/>
        </w:rPr>
      </w:pPr>
    </w:p>
    <w:p w14:paraId="2EC71E8B" w14:textId="78A802C7" w:rsidR="007964D1" w:rsidRDefault="004E371F" w:rsidP="009C109B">
      <w:pPr>
        <w:rPr>
          <w:rFonts w:asciiTheme="minorHAnsi" w:eastAsia="Calibri" w:hAnsiTheme="minorHAnsi" w:cs="Calibri"/>
          <w:sz w:val="24"/>
          <w:szCs w:val="24"/>
          <w14:ligatures w14:val="none"/>
        </w:rPr>
      </w:pPr>
      <w:r>
        <w:rPr>
          <w:rFonts w:asciiTheme="minorHAnsi" w:eastAsia="Calibri" w:hAnsiTheme="minorHAnsi" w:cs="Calibri"/>
          <w:sz w:val="24"/>
          <w:szCs w:val="24"/>
          <w14:ligatures w14:val="none"/>
        </w:rPr>
        <w:t>Specifically, to:</w:t>
      </w:r>
    </w:p>
    <w:p w14:paraId="2DE5DB4D" w14:textId="50BDCD5E" w:rsidR="007964D1" w:rsidRPr="005E42B3" w:rsidRDefault="007964D1" w:rsidP="009C109B">
      <w:pPr>
        <w:pStyle w:val="ListParagraph"/>
        <w:numPr>
          <w:ilvl w:val="0"/>
          <w:numId w:val="22"/>
        </w:numPr>
        <w:rPr>
          <w:sz w:val="24"/>
          <w:szCs w:val="24"/>
        </w:rPr>
      </w:pPr>
      <w:r w:rsidRPr="005E42B3">
        <w:rPr>
          <w:sz w:val="24"/>
          <w:szCs w:val="24"/>
        </w:rPr>
        <w:t>Explore an emergency package in relation to redundanc</w:t>
      </w:r>
      <w:r w:rsidR="00252F3D" w:rsidRPr="005E42B3">
        <w:rPr>
          <w:sz w:val="24"/>
          <w:szCs w:val="24"/>
        </w:rPr>
        <w:t>y avoidance</w:t>
      </w:r>
      <w:r w:rsidR="005E42B3">
        <w:rPr>
          <w:sz w:val="24"/>
          <w:szCs w:val="24"/>
        </w:rPr>
        <w:t>.</w:t>
      </w:r>
    </w:p>
    <w:p w14:paraId="661ADC68" w14:textId="6753C488" w:rsidR="007964D1" w:rsidRPr="005E42B3" w:rsidRDefault="004E371F" w:rsidP="009C109B">
      <w:pPr>
        <w:pStyle w:val="ListParagraph"/>
        <w:numPr>
          <w:ilvl w:val="0"/>
          <w:numId w:val="22"/>
        </w:numPr>
        <w:spacing w:after="0" w:line="288" w:lineRule="auto"/>
        <w:rPr>
          <w:rFonts w:cstheme="minorHAnsi"/>
          <w:sz w:val="24"/>
          <w:szCs w:val="24"/>
        </w:rPr>
      </w:pPr>
      <w:r w:rsidRPr="005E42B3">
        <w:rPr>
          <w:rFonts w:cstheme="minorHAnsi"/>
          <w:sz w:val="24"/>
          <w:szCs w:val="24"/>
        </w:rPr>
        <w:t>W</w:t>
      </w:r>
      <w:r w:rsidR="007964D1" w:rsidRPr="005E42B3">
        <w:rPr>
          <w:rFonts w:cstheme="minorHAnsi"/>
          <w:sz w:val="24"/>
          <w:szCs w:val="24"/>
        </w:rPr>
        <w:t>ork with the joint unions to lobby</w:t>
      </w:r>
      <w:r w:rsidR="002C64DA" w:rsidRPr="005E42B3">
        <w:rPr>
          <w:rFonts w:cstheme="minorHAnsi"/>
          <w:sz w:val="24"/>
          <w:szCs w:val="24"/>
        </w:rPr>
        <w:t xml:space="preserve"> government t</w:t>
      </w:r>
      <w:r w:rsidR="007964D1" w:rsidRPr="005E42B3">
        <w:rPr>
          <w:rFonts w:cstheme="minorHAnsi"/>
          <w:sz w:val="24"/>
          <w:szCs w:val="24"/>
        </w:rPr>
        <w:t xml:space="preserve">o implement more stable funding for the higher education sector, with a view to </w:t>
      </w:r>
      <w:r w:rsidR="00126DD7" w:rsidRPr="005E42B3">
        <w:rPr>
          <w:rFonts w:cstheme="minorHAnsi"/>
          <w:sz w:val="24"/>
          <w:szCs w:val="24"/>
        </w:rPr>
        <w:t>avoiding</w:t>
      </w:r>
      <w:r w:rsidR="007964D1" w:rsidRPr="005E42B3">
        <w:rPr>
          <w:rFonts w:cstheme="minorHAnsi"/>
          <w:sz w:val="24"/>
          <w:szCs w:val="24"/>
        </w:rPr>
        <w:t xml:space="preserve"> redundancies, course closures and </w:t>
      </w:r>
      <w:r w:rsidR="00D566BD" w:rsidRPr="005E42B3">
        <w:rPr>
          <w:rFonts w:cstheme="minorHAnsi"/>
          <w:sz w:val="24"/>
          <w:szCs w:val="24"/>
        </w:rPr>
        <w:t>cuts to academic</w:t>
      </w:r>
      <w:r w:rsidR="007964D1" w:rsidRPr="005E42B3">
        <w:rPr>
          <w:rFonts w:cstheme="minorHAnsi"/>
          <w:sz w:val="24"/>
          <w:szCs w:val="24"/>
        </w:rPr>
        <w:t xml:space="preserve"> disciplines. This should include a return to a system of block grants based on capped student numbers.</w:t>
      </w:r>
    </w:p>
    <w:p w14:paraId="31B406B4" w14:textId="77777777" w:rsidR="000D48AF" w:rsidRPr="006C29C0" w:rsidRDefault="000D48AF" w:rsidP="009C109B">
      <w:pPr>
        <w:rPr>
          <w:rFonts w:asciiTheme="minorHAnsi" w:hAnsiTheme="minorHAnsi"/>
          <w:sz w:val="24"/>
          <w:szCs w:val="24"/>
        </w:rPr>
      </w:pPr>
    </w:p>
    <w:p w14:paraId="4A899041" w14:textId="77777777" w:rsidR="0003468F" w:rsidRPr="009F0275" w:rsidRDefault="0003468F" w:rsidP="009F0275">
      <w:pPr>
        <w:spacing w:after="240"/>
        <w:rPr>
          <w:rFonts w:asciiTheme="minorHAnsi" w:hAnsiTheme="minorHAnsi"/>
          <w:b/>
          <w:bCs/>
          <w:sz w:val="24"/>
          <w:szCs w:val="24"/>
        </w:rPr>
      </w:pPr>
      <w:r w:rsidRPr="009F0275">
        <w:rPr>
          <w:rFonts w:asciiTheme="minorHAnsi" w:hAnsiTheme="minorHAnsi"/>
          <w:b/>
          <w:bCs/>
          <w:sz w:val="24"/>
          <w:szCs w:val="24"/>
        </w:rPr>
        <w:t>Pay spine review</w:t>
      </w:r>
    </w:p>
    <w:p w14:paraId="5508DC8A" w14:textId="6721A573" w:rsidR="0003468F" w:rsidRPr="006C29C0" w:rsidRDefault="0003468F" w:rsidP="009C109B">
      <w:pPr>
        <w:rPr>
          <w:rFonts w:asciiTheme="minorHAnsi" w:hAnsiTheme="minorHAnsi"/>
          <w:sz w:val="24"/>
          <w:szCs w:val="24"/>
        </w:rPr>
      </w:pPr>
      <w:r w:rsidRPr="006C29C0">
        <w:rPr>
          <w:rFonts w:asciiTheme="minorHAnsi" w:hAnsiTheme="minorHAnsi"/>
          <w:sz w:val="24"/>
          <w:szCs w:val="24"/>
        </w:rPr>
        <w:t xml:space="preserve">In recent years it has become apparent that as pay increases have not kept up with the rising cost of living that this has directly impacted on the sustainability of the bottom end of the pay spine. For the past few </w:t>
      </w:r>
      <w:r w:rsidR="008D4E89" w:rsidRPr="006C29C0">
        <w:rPr>
          <w:rFonts w:asciiTheme="minorHAnsi" w:hAnsiTheme="minorHAnsi"/>
          <w:sz w:val="24"/>
          <w:szCs w:val="24"/>
        </w:rPr>
        <w:t>years,</w:t>
      </w:r>
      <w:r w:rsidRPr="006C29C0">
        <w:rPr>
          <w:rFonts w:asciiTheme="minorHAnsi" w:hAnsiTheme="minorHAnsi"/>
          <w:sz w:val="24"/>
          <w:szCs w:val="24"/>
        </w:rPr>
        <w:t xml:space="preserve"> the lowest pay points have needed to be raised, or eliminated altogether, </w:t>
      </w:r>
      <w:proofErr w:type="gramStart"/>
      <w:r w:rsidRPr="006C29C0">
        <w:rPr>
          <w:rFonts w:asciiTheme="minorHAnsi" w:hAnsiTheme="minorHAnsi"/>
          <w:sz w:val="24"/>
          <w:szCs w:val="24"/>
        </w:rPr>
        <w:t>in order to</w:t>
      </w:r>
      <w:proofErr w:type="gramEnd"/>
      <w:r w:rsidRPr="006C29C0">
        <w:rPr>
          <w:rFonts w:asciiTheme="minorHAnsi" w:hAnsiTheme="minorHAnsi"/>
          <w:sz w:val="24"/>
          <w:szCs w:val="24"/>
        </w:rPr>
        <w:t xml:space="preserve"> comply with the government’s minimum wage. Whereas in the past the lowest pay point was comparable to the Living Wage Foundation rate, this is no longer the case, and certainly not for those working a more than a 35-hour week – </w:t>
      </w:r>
      <w:proofErr w:type="gramStart"/>
      <w:r w:rsidRPr="006C29C0">
        <w:rPr>
          <w:rFonts w:asciiTheme="minorHAnsi" w:hAnsiTheme="minorHAnsi"/>
          <w:sz w:val="24"/>
          <w:szCs w:val="24"/>
        </w:rPr>
        <w:t>the majority of</w:t>
      </w:r>
      <w:proofErr w:type="gramEnd"/>
      <w:r w:rsidRPr="006C29C0">
        <w:rPr>
          <w:rFonts w:asciiTheme="minorHAnsi" w:hAnsiTheme="minorHAnsi"/>
          <w:sz w:val="24"/>
          <w:szCs w:val="24"/>
        </w:rPr>
        <w:t xml:space="preserve"> the sector. </w:t>
      </w:r>
    </w:p>
    <w:p w14:paraId="500187FA" w14:textId="77777777" w:rsidR="0003468F" w:rsidRPr="006C29C0" w:rsidRDefault="0003468F" w:rsidP="009C109B">
      <w:pPr>
        <w:rPr>
          <w:rFonts w:asciiTheme="minorHAnsi" w:hAnsiTheme="minorHAnsi"/>
          <w:sz w:val="24"/>
          <w:szCs w:val="24"/>
        </w:rPr>
      </w:pPr>
    </w:p>
    <w:p w14:paraId="65CA6699" w14:textId="77777777" w:rsidR="0003468F" w:rsidRPr="006C29C0" w:rsidRDefault="0003468F" w:rsidP="009C109B">
      <w:pPr>
        <w:rPr>
          <w:rFonts w:asciiTheme="minorHAnsi" w:hAnsiTheme="minorHAnsi"/>
          <w:sz w:val="24"/>
          <w:szCs w:val="24"/>
        </w:rPr>
      </w:pPr>
      <w:r w:rsidRPr="006C29C0">
        <w:rPr>
          <w:rFonts w:asciiTheme="minorHAnsi" w:hAnsiTheme="minorHAnsi"/>
          <w:sz w:val="24"/>
          <w:szCs w:val="24"/>
        </w:rPr>
        <w:t xml:space="preserve">The joint unions believe that there should be short term steps taken to urgently address the bottom end of the pay spine to ensure that HE employers are, at the very minimum, keeping up with the Living Wage Foundation rates irrespective of standard working hours contracts. We also believe that there should be joint work undertaken to ensure that the national pay spine provides universities and their staff with a suitable and sustainable national pay spine for the coming decades. With the reduction in pay points at the lower end, the reduction in differentials between SCPs, the removal of some increments from grades by HEIs, the time has come to review the national pay spine. </w:t>
      </w:r>
    </w:p>
    <w:p w14:paraId="20CEE130" w14:textId="77777777" w:rsidR="0003468F" w:rsidRPr="006C29C0" w:rsidRDefault="0003468F" w:rsidP="009C109B">
      <w:pPr>
        <w:rPr>
          <w:rFonts w:asciiTheme="minorHAnsi" w:hAnsiTheme="minorHAnsi"/>
          <w:sz w:val="24"/>
          <w:szCs w:val="24"/>
        </w:rPr>
      </w:pPr>
    </w:p>
    <w:p w14:paraId="3BA1AD9A" w14:textId="77777777" w:rsidR="0003468F" w:rsidRPr="006C29C0" w:rsidRDefault="0003468F" w:rsidP="009C109B">
      <w:pPr>
        <w:rPr>
          <w:rFonts w:asciiTheme="minorHAnsi" w:hAnsiTheme="minorHAnsi"/>
          <w:sz w:val="24"/>
          <w:szCs w:val="24"/>
        </w:rPr>
      </w:pPr>
      <w:r w:rsidRPr="006C29C0">
        <w:rPr>
          <w:rFonts w:asciiTheme="minorHAnsi" w:hAnsiTheme="minorHAnsi"/>
          <w:sz w:val="24"/>
          <w:szCs w:val="24"/>
        </w:rPr>
        <w:t xml:space="preserve">We believe that this review should work within the principle established by all partners in the National Framework Agreement. </w:t>
      </w:r>
    </w:p>
    <w:p w14:paraId="448DCB81" w14:textId="77777777" w:rsidR="0003468F" w:rsidRPr="006C29C0" w:rsidRDefault="0003468F" w:rsidP="009C109B">
      <w:pPr>
        <w:rPr>
          <w:rFonts w:asciiTheme="minorHAnsi" w:hAnsiTheme="minorHAnsi"/>
          <w:sz w:val="24"/>
          <w:szCs w:val="24"/>
        </w:rPr>
      </w:pPr>
    </w:p>
    <w:p w14:paraId="0EC4F68C" w14:textId="2AAF5186" w:rsidR="0003468F" w:rsidRPr="006C29C0" w:rsidRDefault="0003468F" w:rsidP="009C109B">
      <w:pPr>
        <w:rPr>
          <w:rFonts w:asciiTheme="minorHAnsi" w:hAnsiTheme="minorHAnsi"/>
          <w:sz w:val="24"/>
          <w:szCs w:val="24"/>
        </w:rPr>
      </w:pPr>
      <w:r w:rsidRPr="006C29C0">
        <w:rPr>
          <w:rFonts w:asciiTheme="minorHAnsi" w:hAnsiTheme="minorHAnsi"/>
          <w:sz w:val="24"/>
          <w:szCs w:val="24"/>
        </w:rPr>
        <w:t xml:space="preserve">The rationale for differentials in the pay structures is important, particularly at a time when our members are taking on more duties as HEIs restructure and make cuts in staffing. In recent years the outcomes of New JNCHES have resulted in the pay spine differentials not being consistent throughout the spine, which impacts on equality, </w:t>
      </w:r>
      <w:r w:rsidR="007C6A53" w:rsidRPr="006C29C0">
        <w:rPr>
          <w:rFonts w:asciiTheme="minorHAnsi" w:hAnsiTheme="minorHAnsi"/>
          <w:sz w:val="24"/>
          <w:szCs w:val="24"/>
        </w:rPr>
        <w:t>fairness,</w:t>
      </w:r>
      <w:r w:rsidRPr="006C29C0">
        <w:rPr>
          <w:rFonts w:asciiTheme="minorHAnsi" w:hAnsiTheme="minorHAnsi"/>
          <w:sz w:val="24"/>
          <w:szCs w:val="24"/>
        </w:rPr>
        <w:t xml:space="preserve"> and consistency grounds. The unions are calling for a restructure of the pay spine to restore the even incremental gaps throughout the pay spine and address the </w:t>
      </w:r>
      <w:r w:rsidRPr="006C29C0">
        <w:rPr>
          <w:rFonts w:asciiTheme="minorHAnsi" w:hAnsiTheme="minorHAnsi"/>
          <w:sz w:val="24"/>
          <w:szCs w:val="24"/>
        </w:rPr>
        <w:lastRenderedPageBreak/>
        <w:t xml:space="preserve">issues of pay compression that exist. Given the high levels of uncertainty affecting the sector, differentials need to be predictable over time rather than being eroded. </w:t>
      </w:r>
    </w:p>
    <w:p w14:paraId="353314CE" w14:textId="77777777" w:rsidR="0003468F" w:rsidRPr="006C29C0" w:rsidRDefault="0003468F" w:rsidP="009C109B">
      <w:pPr>
        <w:rPr>
          <w:rFonts w:asciiTheme="minorHAnsi" w:hAnsiTheme="minorHAnsi"/>
          <w:sz w:val="24"/>
          <w:szCs w:val="24"/>
        </w:rPr>
      </w:pPr>
    </w:p>
    <w:p w14:paraId="03B1E24E" w14:textId="77777777" w:rsidR="0003468F" w:rsidRPr="006C29C0" w:rsidRDefault="0003468F" w:rsidP="009C109B">
      <w:pPr>
        <w:rPr>
          <w:rFonts w:asciiTheme="minorHAnsi" w:hAnsiTheme="minorHAnsi"/>
          <w:sz w:val="24"/>
          <w:szCs w:val="24"/>
        </w:rPr>
      </w:pPr>
      <w:r w:rsidRPr="006C29C0">
        <w:rPr>
          <w:rFonts w:asciiTheme="minorHAnsi" w:hAnsiTheme="minorHAnsi"/>
          <w:sz w:val="24"/>
          <w:szCs w:val="24"/>
        </w:rPr>
        <w:t xml:space="preserve">The principle of ensuring that all staff were employed on grades with incremental progression was an important element of the National Framework Agreement and one which the unions believe needs to be carried forward. With universities needing to take action to address poverty pay, there are an increasing number of staff who are not employed on incremental grades and </w:t>
      </w:r>
      <w:proofErr w:type="gramStart"/>
      <w:r w:rsidRPr="006C29C0">
        <w:rPr>
          <w:rFonts w:asciiTheme="minorHAnsi" w:hAnsiTheme="minorHAnsi"/>
          <w:sz w:val="24"/>
          <w:szCs w:val="24"/>
        </w:rPr>
        <w:t>the majority of</w:t>
      </w:r>
      <w:proofErr w:type="gramEnd"/>
      <w:r w:rsidRPr="006C29C0">
        <w:rPr>
          <w:rFonts w:asciiTheme="minorHAnsi" w:hAnsiTheme="minorHAnsi"/>
          <w:sz w:val="24"/>
          <w:szCs w:val="24"/>
        </w:rPr>
        <w:t xml:space="preserve"> staff have reached the top of their pay grade. The unions note that incremental pay increases are contractual, and that national pay bargaining relates to achieving increases in the pay award for all employees at the full rate for the job.  </w:t>
      </w:r>
    </w:p>
    <w:p w14:paraId="5A43780A" w14:textId="77777777" w:rsidR="0003468F" w:rsidRPr="006C29C0" w:rsidRDefault="0003468F" w:rsidP="009C109B">
      <w:pPr>
        <w:rPr>
          <w:rFonts w:asciiTheme="minorHAnsi" w:hAnsiTheme="minorHAnsi"/>
          <w:sz w:val="24"/>
          <w:szCs w:val="24"/>
        </w:rPr>
      </w:pPr>
    </w:p>
    <w:p w14:paraId="4BB70B9B" w14:textId="77777777" w:rsidR="0003468F" w:rsidRDefault="0003468F" w:rsidP="009C109B">
      <w:pPr>
        <w:rPr>
          <w:rFonts w:asciiTheme="minorHAnsi" w:hAnsiTheme="minorHAnsi"/>
          <w:sz w:val="24"/>
          <w:szCs w:val="24"/>
        </w:rPr>
      </w:pPr>
      <w:r w:rsidRPr="006C29C0">
        <w:rPr>
          <w:rFonts w:asciiTheme="minorHAnsi" w:hAnsiTheme="minorHAnsi"/>
          <w:sz w:val="24"/>
          <w:szCs w:val="24"/>
        </w:rPr>
        <w:t>The sections in this claim on loss of value, inflation forecasts and settlement data, when compared with the pay increase contained in recent settlements, show how far behind both the cost of living and average pay settlements the pay in HEIs has fallen. Our members at the top of grades have therefore faced a steady erosion in their pay packets from below-inflation settlements together with no increment.</w:t>
      </w:r>
    </w:p>
    <w:p w14:paraId="37EB129F" w14:textId="77777777" w:rsidR="00297FE6" w:rsidRDefault="00297FE6" w:rsidP="009C109B">
      <w:pPr>
        <w:rPr>
          <w:rFonts w:asciiTheme="minorHAnsi" w:hAnsiTheme="minorHAnsi"/>
          <w:sz w:val="24"/>
          <w:szCs w:val="24"/>
        </w:rPr>
      </w:pPr>
    </w:p>
    <w:p w14:paraId="48901CAE" w14:textId="044147C6" w:rsidR="00297FE6" w:rsidRPr="006C29C0" w:rsidRDefault="0031612F" w:rsidP="009C109B">
      <w:pPr>
        <w:rPr>
          <w:rFonts w:asciiTheme="minorHAnsi" w:hAnsiTheme="minorHAnsi"/>
          <w:sz w:val="24"/>
          <w:szCs w:val="24"/>
        </w:rPr>
      </w:pPr>
      <w:r>
        <w:rPr>
          <w:rFonts w:asciiTheme="minorHAnsi" w:hAnsiTheme="minorHAnsi"/>
          <w:sz w:val="24"/>
          <w:szCs w:val="24"/>
        </w:rPr>
        <w:t xml:space="preserve">The above inflation increases in the NLW from April 2025 </w:t>
      </w:r>
      <w:r w:rsidR="00756D75">
        <w:rPr>
          <w:rFonts w:asciiTheme="minorHAnsi" w:hAnsiTheme="minorHAnsi"/>
          <w:sz w:val="24"/>
          <w:szCs w:val="24"/>
        </w:rPr>
        <w:t>have made</w:t>
      </w:r>
      <w:r w:rsidR="00B064A3">
        <w:rPr>
          <w:rFonts w:asciiTheme="minorHAnsi" w:hAnsiTheme="minorHAnsi"/>
          <w:sz w:val="24"/>
          <w:szCs w:val="24"/>
        </w:rPr>
        <w:t xml:space="preserve"> the need </w:t>
      </w:r>
      <w:r w:rsidR="00FB28D5">
        <w:rPr>
          <w:rFonts w:asciiTheme="minorHAnsi" w:hAnsiTheme="minorHAnsi"/>
          <w:sz w:val="24"/>
          <w:szCs w:val="24"/>
        </w:rPr>
        <w:t>for reform of the New JNCHES pay spine greater than ever</w:t>
      </w:r>
      <w:r w:rsidR="00FF4AA7">
        <w:rPr>
          <w:rFonts w:asciiTheme="minorHAnsi" w:hAnsiTheme="minorHAnsi"/>
          <w:sz w:val="24"/>
          <w:szCs w:val="24"/>
        </w:rPr>
        <w:t>. We believe that UCEA should agree to take forward this piece of work urgent</w:t>
      </w:r>
      <w:r w:rsidR="00785951">
        <w:rPr>
          <w:rFonts w:asciiTheme="minorHAnsi" w:hAnsiTheme="minorHAnsi"/>
          <w:sz w:val="24"/>
          <w:szCs w:val="24"/>
        </w:rPr>
        <w:t>ly with the trade union side with the aim of agreeing recommendations that can be applied by August 2025.</w:t>
      </w:r>
    </w:p>
    <w:p w14:paraId="0ADA0EC6" w14:textId="77777777" w:rsidR="0003468F" w:rsidRPr="006C29C0" w:rsidRDefault="0003468F" w:rsidP="009F0275">
      <w:pPr>
        <w:spacing w:after="240"/>
        <w:rPr>
          <w:rFonts w:asciiTheme="minorHAnsi" w:hAnsiTheme="minorHAnsi"/>
          <w:sz w:val="24"/>
          <w:szCs w:val="24"/>
        </w:rPr>
      </w:pPr>
    </w:p>
    <w:p w14:paraId="6A7585AA" w14:textId="77777777" w:rsidR="0003468F" w:rsidRPr="0039549F" w:rsidRDefault="0003468F" w:rsidP="009F0275">
      <w:pPr>
        <w:spacing w:after="240"/>
        <w:rPr>
          <w:rFonts w:asciiTheme="minorHAnsi" w:hAnsiTheme="minorHAnsi"/>
          <w:b/>
          <w:bCs/>
          <w:sz w:val="24"/>
          <w:szCs w:val="24"/>
        </w:rPr>
      </w:pPr>
      <w:r w:rsidRPr="0039549F">
        <w:rPr>
          <w:rFonts w:asciiTheme="minorHAnsi" w:hAnsiTheme="minorHAnsi"/>
          <w:b/>
          <w:bCs/>
          <w:sz w:val="24"/>
          <w:szCs w:val="24"/>
        </w:rPr>
        <w:t>Percentage Gap between Different Spinal Column Points</w:t>
      </w:r>
    </w:p>
    <w:p w14:paraId="3E0345CE" w14:textId="624D18EA" w:rsidR="0003468F" w:rsidRDefault="0003468F" w:rsidP="009C109B">
      <w:pPr>
        <w:rPr>
          <w:rFonts w:asciiTheme="minorHAnsi" w:hAnsiTheme="minorHAnsi"/>
          <w:sz w:val="24"/>
          <w:szCs w:val="24"/>
        </w:rPr>
      </w:pPr>
      <w:r w:rsidRPr="006C29C0">
        <w:rPr>
          <w:rFonts w:asciiTheme="minorHAnsi" w:hAnsiTheme="minorHAnsi"/>
          <w:sz w:val="24"/>
          <w:szCs w:val="24"/>
        </w:rPr>
        <w:t xml:space="preserve">The joint trade unions are seeking, as part of this year’s pay settlement, a recognition of the dwindling value of pay for those at the top of grades. </w:t>
      </w:r>
      <w:r w:rsidR="00F31D52" w:rsidRPr="006C29C0">
        <w:rPr>
          <w:rFonts w:asciiTheme="minorHAnsi" w:hAnsiTheme="minorHAnsi"/>
          <w:sz w:val="24"/>
          <w:szCs w:val="24"/>
        </w:rPr>
        <w:t>We are seeking additional pay uplifts at the lower end of the spine to address pay compression and a remodelling of the pay spine to address the erosion of differentials across the pay spine. Seeking to restore a 3% gap across the spine is a means to achieve this</w:t>
      </w:r>
      <w:r w:rsidRPr="006C29C0">
        <w:rPr>
          <w:rFonts w:asciiTheme="minorHAnsi" w:hAnsiTheme="minorHAnsi"/>
          <w:sz w:val="24"/>
          <w:szCs w:val="24"/>
        </w:rPr>
        <w:t>. Establishing a joint working group to address this problem in a comprehensive way would be a useful way to take this problem forward.</w:t>
      </w:r>
    </w:p>
    <w:p w14:paraId="33C7D4F0" w14:textId="77777777" w:rsidR="00FE7CA8" w:rsidRDefault="00FE7CA8" w:rsidP="009C109B">
      <w:pPr>
        <w:rPr>
          <w:rFonts w:asciiTheme="minorHAnsi" w:hAnsiTheme="minorHAnsi"/>
          <w:sz w:val="24"/>
          <w:szCs w:val="24"/>
        </w:rPr>
      </w:pPr>
    </w:p>
    <w:p w14:paraId="7A8A89F0" w14:textId="5BA9CB96" w:rsidR="008677DB" w:rsidRDefault="008677DB">
      <w:pPr>
        <w:spacing w:after="160" w:line="259" w:lineRule="auto"/>
        <w:rPr>
          <w:rFonts w:asciiTheme="minorHAnsi" w:hAnsiTheme="minorHAnsi" w:cs="Calibri"/>
          <w:sz w:val="24"/>
          <w:szCs w:val="24"/>
        </w:rPr>
      </w:pPr>
      <w:r>
        <w:rPr>
          <w:rFonts w:asciiTheme="minorHAnsi" w:hAnsiTheme="minorHAnsi" w:cs="Calibri"/>
        </w:rPr>
        <w:br w:type="page"/>
      </w:r>
    </w:p>
    <w:p w14:paraId="1BF41A61" w14:textId="3B65F336" w:rsidR="00B709DF" w:rsidRDefault="008677DB" w:rsidP="009C109B">
      <w:pPr>
        <w:pStyle w:val="Default"/>
        <w:rPr>
          <w:rFonts w:asciiTheme="minorHAnsi" w:hAnsiTheme="minorHAnsi" w:cs="Calibri"/>
          <w:b/>
          <w:bCs/>
          <w:color w:val="auto"/>
          <w:u w:val="single"/>
        </w:rPr>
      </w:pPr>
      <w:r w:rsidRPr="008677DB">
        <w:rPr>
          <w:rFonts w:asciiTheme="minorHAnsi" w:hAnsiTheme="minorHAnsi" w:cs="Calibri"/>
          <w:b/>
          <w:bCs/>
          <w:color w:val="auto"/>
          <w:u w:val="single"/>
        </w:rPr>
        <w:lastRenderedPageBreak/>
        <w:t>Pay Related Elements</w:t>
      </w:r>
    </w:p>
    <w:p w14:paraId="0C7EE628" w14:textId="77777777" w:rsidR="008677DB" w:rsidRPr="008677DB" w:rsidRDefault="008677DB" w:rsidP="009C109B">
      <w:pPr>
        <w:pStyle w:val="Default"/>
        <w:rPr>
          <w:rFonts w:asciiTheme="minorHAnsi" w:hAnsiTheme="minorHAnsi" w:cs="Calibri"/>
          <w:b/>
          <w:bCs/>
          <w:color w:val="auto"/>
          <w:u w:val="single"/>
        </w:rPr>
      </w:pPr>
    </w:p>
    <w:p w14:paraId="73B2C71A" w14:textId="18E3CAE9" w:rsidR="005E42B3" w:rsidRPr="008677DB" w:rsidRDefault="00225120" w:rsidP="008677DB">
      <w:pPr>
        <w:pStyle w:val="Default"/>
        <w:spacing w:after="240"/>
        <w:rPr>
          <w:rFonts w:asciiTheme="minorHAnsi" w:hAnsiTheme="minorHAnsi" w:cs="Calibri"/>
          <w:b/>
          <w:bCs/>
          <w:color w:val="auto"/>
        </w:rPr>
      </w:pPr>
      <w:r w:rsidRPr="008677DB">
        <w:rPr>
          <w:rFonts w:asciiTheme="minorHAnsi" w:hAnsiTheme="minorHAnsi" w:cs="Calibri"/>
          <w:b/>
          <w:bCs/>
          <w:color w:val="auto"/>
        </w:rPr>
        <w:t>Contract Type</w:t>
      </w:r>
      <w:r w:rsidR="000D48AF" w:rsidRPr="008677DB">
        <w:rPr>
          <w:rFonts w:asciiTheme="minorHAnsi" w:hAnsiTheme="minorHAnsi" w:cs="Calibri"/>
          <w:b/>
          <w:bCs/>
          <w:color w:val="auto"/>
        </w:rPr>
        <w:t>s/ casualisation</w:t>
      </w:r>
    </w:p>
    <w:p w14:paraId="11446777" w14:textId="77777777" w:rsidR="002B7152" w:rsidRPr="005E42B3" w:rsidRDefault="002B7152" w:rsidP="009C109B">
      <w:pPr>
        <w:pStyle w:val="paragraph"/>
        <w:shd w:val="clear" w:color="auto" w:fill="FFFFFF" w:themeFill="background1"/>
        <w:spacing w:before="0" w:beforeAutospacing="0" w:after="0" w:afterAutospacing="0"/>
        <w:textAlignment w:val="baseline"/>
        <w:rPr>
          <w:rStyle w:val="normaltextrun"/>
          <w:rFonts w:asciiTheme="minorHAnsi" w:hAnsiTheme="minorHAnsi" w:cs="Segoe UI"/>
        </w:rPr>
      </w:pPr>
      <w:r w:rsidRPr="005E42B3">
        <w:rPr>
          <w:rStyle w:val="normaltextrun"/>
          <w:rFonts w:asciiTheme="minorHAnsi" w:eastAsiaTheme="majorEastAsia" w:hAnsiTheme="minorHAnsi" w:cs="Segoe UI"/>
        </w:rPr>
        <w:t>According to the latest available HESA staff data (2022/23</w:t>
      </w:r>
      <w:proofErr w:type="gramStart"/>
      <w:r w:rsidRPr="005E42B3">
        <w:rPr>
          <w:rStyle w:val="normaltextrun"/>
          <w:rFonts w:asciiTheme="minorHAnsi" w:eastAsiaTheme="majorEastAsia" w:hAnsiTheme="minorHAnsi" w:cs="Segoe UI"/>
        </w:rPr>
        <w:t>),  62690</w:t>
      </w:r>
      <w:proofErr w:type="gramEnd"/>
      <w:r w:rsidRPr="005E42B3">
        <w:rPr>
          <w:rStyle w:val="normaltextrun"/>
          <w:rFonts w:asciiTheme="minorHAnsi" w:eastAsiaTheme="majorEastAsia" w:hAnsiTheme="minorHAnsi" w:cs="Segoe UI"/>
        </w:rPr>
        <w:t xml:space="preserve"> academics are employed on fixed-term or atypical contracts – a figure that has changed little in recent years. This figure rises to almost half for teaching-only academics (45%) and nearly two thirds (66%) for research only staff. </w:t>
      </w:r>
      <w:r w:rsidRPr="005E42B3">
        <w:rPr>
          <w:rStyle w:val="eop"/>
          <w:rFonts w:asciiTheme="minorHAnsi" w:eastAsiaTheme="majorEastAsia" w:hAnsiTheme="minorHAnsi" w:cs="Segoe UI"/>
        </w:rPr>
        <w:t> </w:t>
      </w:r>
    </w:p>
    <w:p w14:paraId="0841EBB1" w14:textId="77777777" w:rsidR="002B7152" w:rsidRPr="009C109B" w:rsidRDefault="002B7152" w:rsidP="009C109B">
      <w:pPr>
        <w:pStyle w:val="paragraph"/>
        <w:shd w:val="clear" w:color="auto" w:fill="FFFFFF" w:themeFill="background1"/>
        <w:spacing w:before="0" w:after="0" w:afterAutospacing="0"/>
        <w:textAlignment w:val="baseline"/>
        <w:rPr>
          <w:rStyle w:val="normaltextrun"/>
          <w:rFonts w:asciiTheme="minorHAnsi" w:hAnsiTheme="minorHAnsi" w:cs="Segoe UI"/>
        </w:rPr>
      </w:pPr>
      <w:r w:rsidRPr="009C109B">
        <w:rPr>
          <w:rStyle w:val="normaltextrun"/>
          <w:rFonts w:asciiTheme="minorHAnsi" w:eastAsiaTheme="majorEastAsia" w:hAnsiTheme="minorHAnsi" w:cs="Segoe UI"/>
        </w:rPr>
        <w:t>Across the sector 32,625 academic staff are employed on hourly paid contracts (HESA 22/23), with 31,590 of those staff only receiving part time hours.</w:t>
      </w:r>
    </w:p>
    <w:p w14:paraId="63FBA643" w14:textId="77777777" w:rsidR="002B7152" w:rsidRPr="009C109B" w:rsidRDefault="002B7152" w:rsidP="009C109B">
      <w:pPr>
        <w:pStyle w:val="paragraph"/>
        <w:shd w:val="clear" w:color="auto" w:fill="FFFFFF" w:themeFill="background1"/>
        <w:spacing w:before="0" w:after="0" w:afterAutospacing="0"/>
        <w:textAlignment w:val="baseline"/>
        <w:rPr>
          <w:rFonts w:asciiTheme="minorHAnsi" w:hAnsiTheme="minorHAnsi" w:cs="Segoe UI"/>
        </w:rPr>
      </w:pPr>
      <w:r w:rsidRPr="009C109B">
        <w:rPr>
          <w:rStyle w:val="normaltextrun"/>
          <w:rFonts w:asciiTheme="minorHAnsi" w:eastAsiaTheme="majorEastAsia" w:hAnsiTheme="minorHAnsi" w:cs="Segoe UI"/>
        </w:rPr>
        <w:t>Women and BAME staff are more likely to be on some form of casualised contract. </w:t>
      </w:r>
      <w:r w:rsidRPr="009C109B">
        <w:rPr>
          <w:rStyle w:val="eop"/>
          <w:rFonts w:asciiTheme="minorHAnsi" w:eastAsiaTheme="majorEastAsia" w:hAnsiTheme="minorHAnsi" w:cs="Segoe UI"/>
        </w:rPr>
        <w:t> </w:t>
      </w:r>
    </w:p>
    <w:p w14:paraId="482644B0" w14:textId="77777777" w:rsidR="002B7152" w:rsidRPr="009C109B" w:rsidRDefault="002B7152" w:rsidP="009C109B">
      <w:pPr>
        <w:pStyle w:val="paragraph"/>
        <w:shd w:val="clear" w:color="auto" w:fill="FFFFFF" w:themeFill="background1"/>
        <w:spacing w:before="0" w:after="0" w:afterAutospacing="0"/>
        <w:textAlignment w:val="baseline"/>
        <w:rPr>
          <w:rStyle w:val="normaltextrun"/>
          <w:rFonts w:asciiTheme="minorHAnsi" w:hAnsiTheme="minorHAnsi" w:cs="Segoe UI"/>
        </w:rPr>
      </w:pPr>
      <w:r w:rsidRPr="009C109B">
        <w:rPr>
          <w:rStyle w:val="normaltextrun"/>
          <w:rFonts w:asciiTheme="minorHAnsi" w:eastAsiaTheme="majorEastAsia" w:hAnsiTheme="minorHAnsi" w:cs="Segoe UI"/>
        </w:rPr>
        <w:t>Casualisation remains a problem for all academic staff groups but the use of fixed-term contracts for research staff, and zero hours and hourly-paid contracts for teaching-only staff is endemic. </w:t>
      </w:r>
      <w:r w:rsidRPr="009C109B">
        <w:rPr>
          <w:rStyle w:val="eop"/>
          <w:rFonts w:asciiTheme="minorHAnsi" w:eastAsiaTheme="majorEastAsia" w:hAnsiTheme="minorHAnsi" w:cs="Segoe UI"/>
        </w:rPr>
        <w:t> </w:t>
      </w:r>
    </w:p>
    <w:p w14:paraId="7F25E070" w14:textId="77777777" w:rsidR="002B7152" w:rsidRPr="009C109B" w:rsidRDefault="002B7152" w:rsidP="009C109B">
      <w:pPr>
        <w:pStyle w:val="paragraph"/>
        <w:shd w:val="clear" w:color="auto" w:fill="FFFFFF" w:themeFill="background1"/>
        <w:spacing w:before="0" w:after="0" w:afterAutospacing="0"/>
        <w:rPr>
          <w:rStyle w:val="normaltextrun"/>
          <w:rFonts w:asciiTheme="minorHAnsi" w:eastAsiaTheme="majorEastAsia" w:hAnsiTheme="minorHAnsi" w:cs="Segoe UI"/>
        </w:rPr>
      </w:pPr>
      <w:r w:rsidRPr="009C109B">
        <w:rPr>
          <w:rStyle w:val="normaltextrun"/>
          <w:rFonts w:asciiTheme="minorHAnsi" w:eastAsiaTheme="majorEastAsia" w:hAnsiTheme="minorHAnsi" w:cs="Segoe UI"/>
        </w:rPr>
        <w:t>According to FOI research undertaken by Unison, there are nearly 25,000 zero hours contracts issued to support staff in the sector.  The joint unions are seeking a commitment from UCEA to a joint call for universities to commit to a new institution-level action and implementation plans to create greater security of employment and to commit the necessary resources to do so.</w:t>
      </w:r>
    </w:p>
    <w:p w14:paraId="6B2013FC" w14:textId="77777777" w:rsidR="002B7152" w:rsidRPr="009C109B" w:rsidRDefault="002B7152" w:rsidP="009C109B">
      <w:pPr>
        <w:pStyle w:val="paragraph"/>
        <w:shd w:val="clear" w:color="auto" w:fill="FFFFFF" w:themeFill="background1"/>
        <w:spacing w:before="0" w:after="0" w:afterAutospacing="0"/>
        <w:textAlignment w:val="baseline"/>
        <w:rPr>
          <w:rFonts w:asciiTheme="minorHAnsi" w:hAnsiTheme="minorHAnsi" w:cs="Segoe UI"/>
        </w:rPr>
      </w:pPr>
      <w:r w:rsidRPr="009C109B">
        <w:rPr>
          <w:rStyle w:val="normaltextrun"/>
          <w:rFonts w:asciiTheme="minorHAnsi" w:eastAsiaTheme="majorEastAsia" w:hAnsiTheme="minorHAnsi" w:cs="Segoe UI"/>
        </w:rPr>
        <w:t>We expect the JNCHES working group looking at contract types to:</w:t>
      </w:r>
      <w:r w:rsidRPr="009C109B">
        <w:rPr>
          <w:rStyle w:val="eop"/>
          <w:rFonts w:asciiTheme="minorHAnsi" w:eastAsiaTheme="majorEastAsia" w:hAnsiTheme="minorHAnsi" w:cs="Segoe UI"/>
        </w:rPr>
        <w:t> </w:t>
      </w:r>
    </w:p>
    <w:p w14:paraId="48AB8895" w14:textId="77777777" w:rsidR="002B7152" w:rsidRPr="009C109B" w:rsidRDefault="002B7152" w:rsidP="009C109B">
      <w:pPr>
        <w:pStyle w:val="paragraph"/>
        <w:shd w:val="clear" w:color="auto" w:fill="FFFFFF" w:themeFill="background1"/>
        <w:spacing w:before="0" w:beforeAutospacing="0" w:after="0" w:afterAutospacing="0"/>
        <w:rPr>
          <w:rStyle w:val="normaltextrun"/>
          <w:rFonts w:asciiTheme="minorHAnsi" w:eastAsiaTheme="majorEastAsia" w:hAnsiTheme="minorHAnsi" w:cs="Segoe UI"/>
        </w:rPr>
      </w:pPr>
    </w:p>
    <w:p w14:paraId="77A39477" w14:textId="77777777" w:rsidR="002B7152" w:rsidRPr="009C109B" w:rsidRDefault="002B7152" w:rsidP="009C109B">
      <w:pPr>
        <w:pStyle w:val="paragraph"/>
        <w:numPr>
          <w:ilvl w:val="0"/>
          <w:numId w:val="12"/>
        </w:numPr>
        <w:shd w:val="clear" w:color="auto" w:fill="FFFFFF" w:themeFill="background1"/>
        <w:spacing w:before="0" w:beforeAutospacing="0" w:after="0" w:afterAutospacing="0"/>
        <w:textAlignment w:val="baseline"/>
        <w:rPr>
          <w:rFonts w:asciiTheme="minorHAnsi" w:hAnsiTheme="minorHAnsi" w:cs="Segoe UI"/>
        </w:rPr>
      </w:pPr>
      <w:r w:rsidRPr="009C109B">
        <w:rPr>
          <w:rStyle w:val="normaltextrun"/>
          <w:rFonts w:asciiTheme="minorHAnsi" w:eastAsiaTheme="majorEastAsia" w:hAnsiTheme="minorHAnsi" w:cs="Segoe UI"/>
        </w:rPr>
        <w:t>Identify ways in which the sector can reduce its use of casualised contracts.</w:t>
      </w:r>
      <w:r w:rsidRPr="009C109B">
        <w:rPr>
          <w:rStyle w:val="eop"/>
          <w:rFonts w:asciiTheme="minorHAnsi" w:eastAsiaTheme="majorEastAsia" w:hAnsiTheme="minorHAnsi" w:cs="Segoe UI"/>
        </w:rPr>
        <w:t> </w:t>
      </w:r>
    </w:p>
    <w:p w14:paraId="59839F5A" w14:textId="77777777" w:rsidR="002B7152" w:rsidRPr="009C109B" w:rsidRDefault="002B7152" w:rsidP="009C109B">
      <w:pPr>
        <w:pStyle w:val="paragraph"/>
        <w:shd w:val="clear" w:color="auto" w:fill="FFFFFF" w:themeFill="background1"/>
        <w:spacing w:before="0" w:beforeAutospacing="0" w:after="0" w:afterAutospacing="0"/>
        <w:rPr>
          <w:rStyle w:val="normaltextrun"/>
          <w:rFonts w:asciiTheme="minorHAnsi" w:eastAsiaTheme="majorEastAsia" w:hAnsiTheme="minorHAnsi" w:cs="Segoe UI"/>
        </w:rPr>
      </w:pPr>
    </w:p>
    <w:p w14:paraId="29851EEE" w14:textId="77777777" w:rsidR="002B7152" w:rsidRPr="009C109B" w:rsidRDefault="002B7152" w:rsidP="009C109B">
      <w:pPr>
        <w:pStyle w:val="paragraph"/>
        <w:numPr>
          <w:ilvl w:val="0"/>
          <w:numId w:val="12"/>
        </w:numPr>
        <w:shd w:val="clear" w:color="auto" w:fill="FFFFFF" w:themeFill="background1"/>
        <w:spacing w:before="0" w:beforeAutospacing="0" w:after="0" w:afterAutospacing="0"/>
        <w:textAlignment w:val="baseline"/>
        <w:rPr>
          <w:rFonts w:asciiTheme="minorHAnsi" w:eastAsia="Verdana" w:hAnsiTheme="minorHAnsi" w:cs="Verdana"/>
          <w:lang w:val="en-US"/>
        </w:rPr>
      </w:pPr>
      <w:r w:rsidRPr="009C109B">
        <w:rPr>
          <w:rStyle w:val="normaltextrun"/>
          <w:rFonts w:asciiTheme="minorHAnsi" w:eastAsiaTheme="majorEastAsia" w:hAnsiTheme="minorHAnsi" w:cs="Segoe UI"/>
        </w:rPr>
        <w:t>Make a recommendation to act on zero hours contracts</w:t>
      </w:r>
      <w:r w:rsidRPr="009C109B">
        <w:rPr>
          <w:rStyle w:val="eop"/>
          <w:rFonts w:asciiTheme="minorHAnsi" w:eastAsiaTheme="majorEastAsia" w:hAnsiTheme="minorHAnsi" w:cs="Segoe UI"/>
        </w:rPr>
        <w:t xml:space="preserve"> such that </w:t>
      </w:r>
      <w:r w:rsidRPr="009C109B">
        <w:rPr>
          <w:rFonts w:asciiTheme="minorHAnsi" w:eastAsia="Verdana" w:hAnsiTheme="minorHAnsi" w:cs="Verdana"/>
          <w:lang w:val="en-US"/>
        </w:rPr>
        <w:t>all staff having at least minimum guaranteed hours that reflect their working pattern on an employee contract.</w:t>
      </w:r>
    </w:p>
    <w:p w14:paraId="73006521" w14:textId="77777777" w:rsidR="002B7152" w:rsidRPr="009C109B" w:rsidRDefault="002B7152" w:rsidP="009C109B">
      <w:pPr>
        <w:pStyle w:val="paragraph"/>
        <w:shd w:val="clear" w:color="auto" w:fill="FFFFFF" w:themeFill="background1"/>
        <w:spacing w:before="0" w:beforeAutospacing="0" w:after="0" w:afterAutospacing="0"/>
        <w:rPr>
          <w:rStyle w:val="normaltextrun"/>
          <w:rFonts w:asciiTheme="minorHAnsi" w:eastAsiaTheme="majorEastAsia" w:hAnsiTheme="minorHAnsi" w:cs="Segoe UI"/>
        </w:rPr>
      </w:pPr>
    </w:p>
    <w:p w14:paraId="71348691" w14:textId="397B6FA5" w:rsidR="002B7152" w:rsidRPr="009C109B" w:rsidRDefault="002B7152" w:rsidP="009C109B">
      <w:pPr>
        <w:pStyle w:val="paragraph"/>
        <w:numPr>
          <w:ilvl w:val="0"/>
          <w:numId w:val="12"/>
        </w:numPr>
        <w:shd w:val="clear" w:color="auto" w:fill="FFFFFF" w:themeFill="background1"/>
        <w:spacing w:before="0" w:beforeAutospacing="0" w:after="0" w:afterAutospacing="0"/>
        <w:textAlignment w:val="baseline"/>
        <w:rPr>
          <w:rFonts w:asciiTheme="minorHAnsi" w:hAnsiTheme="minorHAnsi" w:cs="Segoe UI"/>
        </w:rPr>
      </w:pPr>
      <w:r w:rsidRPr="009C109B">
        <w:rPr>
          <w:rStyle w:val="normaltextrun"/>
          <w:rFonts w:asciiTheme="minorHAnsi" w:eastAsiaTheme="majorEastAsia" w:hAnsiTheme="minorHAnsi" w:cs="Segoe UI"/>
        </w:rPr>
        <w:t xml:space="preserve">Develop, </w:t>
      </w:r>
      <w:r w:rsidR="004657C5" w:rsidRPr="009C109B">
        <w:rPr>
          <w:rStyle w:val="normaltextrun"/>
          <w:rFonts w:asciiTheme="minorHAnsi" w:eastAsiaTheme="majorEastAsia" w:hAnsiTheme="minorHAnsi" w:cs="Segoe UI"/>
        </w:rPr>
        <w:t>agree,</w:t>
      </w:r>
      <w:r w:rsidRPr="009C109B">
        <w:rPr>
          <w:rStyle w:val="normaltextrun"/>
          <w:rFonts w:asciiTheme="minorHAnsi" w:eastAsiaTheme="majorEastAsia" w:hAnsiTheme="minorHAnsi" w:cs="Segoe UI"/>
        </w:rPr>
        <w:t xml:space="preserve"> and promote principles at a UK- level which employers </w:t>
      </w:r>
      <w:proofErr w:type="gramStart"/>
      <w:r w:rsidRPr="009C109B">
        <w:rPr>
          <w:rStyle w:val="normaltextrun"/>
          <w:rFonts w:asciiTheme="minorHAnsi" w:eastAsiaTheme="majorEastAsia" w:hAnsiTheme="minorHAnsi" w:cs="Segoe UI"/>
        </w:rPr>
        <w:t>are able to</w:t>
      </w:r>
      <w:proofErr w:type="gramEnd"/>
      <w:r w:rsidRPr="009C109B">
        <w:rPr>
          <w:rStyle w:val="normaltextrun"/>
          <w:rFonts w:asciiTheme="minorHAnsi" w:eastAsiaTheme="majorEastAsia" w:hAnsiTheme="minorHAnsi" w:cs="Segoe UI"/>
        </w:rPr>
        <w:t xml:space="preserve"> apply through the appropriate local consultation and/or negotiating machinery on the following contract types:</w:t>
      </w:r>
      <w:r w:rsidRPr="009C109B">
        <w:rPr>
          <w:rStyle w:val="eop"/>
          <w:rFonts w:asciiTheme="minorHAnsi" w:eastAsiaTheme="majorEastAsia" w:hAnsiTheme="minorHAnsi" w:cs="Segoe UI"/>
        </w:rPr>
        <w:t> </w:t>
      </w:r>
    </w:p>
    <w:p w14:paraId="071B51F4" w14:textId="77777777" w:rsidR="002B7152" w:rsidRPr="009C109B" w:rsidRDefault="002B7152" w:rsidP="009C109B">
      <w:pPr>
        <w:pStyle w:val="paragraph"/>
        <w:shd w:val="clear" w:color="auto" w:fill="FFFFFF" w:themeFill="background1"/>
        <w:spacing w:before="0" w:beforeAutospacing="0" w:after="0" w:afterAutospacing="0"/>
        <w:rPr>
          <w:rStyle w:val="eop"/>
          <w:rFonts w:asciiTheme="minorHAnsi" w:eastAsiaTheme="majorEastAsia" w:hAnsiTheme="minorHAnsi" w:cs="Segoe UI"/>
        </w:rPr>
      </w:pPr>
    </w:p>
    <w:p w14:paraId="3E23B90F" w14:textId="77777777" w:rsidR="002B7152" w:rsidRPr="009C109B" w:rsidRDefault="002B7152" w:rsidP="009C109B">
      <w:pPr>
        <w:pStyle w:val="paragraph"/>
        <w:numPr>
          <w:ilvl w:val="0"/>
          <w:numId w:val="11"/>
        </w:numPr>
        <w:spacing w:before="0" w:beforeAutospacing="0" w:after="0" w:afterAutospacing="0"/>
        <w:textAlignment w:val="baseline"/>
        <w:rPr>
          <w:rFonts w:asciiTheme="minorHAnsi" w:eastAsia="Verdana" w:hAnsiTheme="minorHAnsi" w:cs="Verdana"/>
          <w:lang w:val="en-US"/>
        </w:rPr>
      </w:pPr>
      <w:r w:rsidRPr="009C109B">
        <w:rPr>
          <w:rStyle w:val="normaltextrun"/>
          <w:rFonts w:asciiTheme="minorHAnsi" w:eastAsiaTheme="majorEastAsia" w:hAnsiTheme="minorHAnsi" w:cs="Segoe UI"/>
        </w:rPr>
        <w:t xml:space="preserve">Graduate Teaching Assistants (GTAs): </w:t>
      </w:r>
      <w:r w:rsidRPr="009C109B">
        <w:rPr>
          <w:rStyle w:val="eop"/>
          <w:rFonts w:asciiTheme="minorHAnsi" w:eastAsiaTheme="majorEastAsia" w:hAnsiTheme="minorHAnsi" w:cs="Segoe UI"/>
        </w:rPr>
        <w:t xml:space="preserve"> to include an </w:t>
      </w:r>
      <w:proofErr w:type="gramStart"/>
      <w:r w:rsidRPr="009C109B">
        <w:rPr>
          <w:rStyle w:val="eop"/>
          <w:rFonts w:asciiTheme="minorHAnsi" w:eastAsiaTheme="majorEastAsia" w:hAnsiTheme="minorHAnsi" w:cs="Segoe UI"/>
        </w:rPr>
        <w:t xml:space="preserve">appropriate </w:t>
      </w:r>
      <w:r w:rsidRPr="009C109B">
        <w:rPr>
          <w:rFonts w:asciiTheme="minorHAnsi" w:eastAsia="Verdana" w:hAnsiTheme="minorHAnsi" w:cs="Verdana"/>
          <w:lang w:val="en-US"/>
        </w:rPr>
        <w:t xml:space="preserve"> workload</w:t>
      </w:r>
      <w:proofErr w:type="gramEnd"/>
      <w:r w:rsidRPr="009C109B">
        <w:rPr>
          <w:rFonts w:asciiTheme="minorHAnsi" w:eastAsia="Verdana" w:hAnsiTheme="minorHAnsi" w:cs="Verdana"/>
          <w:lang w:val="en-US"/>
        </w:rPr>
        <w:t xml:space="preserve"> allocation mechanism, guarantee that all GTAs are paid at the appropriate grade for the work they are conducting; receive paid training, and have access to the same rights and entitlements as all permanent members of staff.</w:t>
      </w:r>
    </w:p>
    <w:p w14:paraId="5E279BD6" w14:textId="77777777" w:rsidR="002B7152" w:rsidRPr="009C109B" w:rsidRDefault="002B7152" w:rsidP="009C109B">
      <w:pPr>
        <w:pStyle w:val="paragraph"/>
        <w:spacing w:before="0" w:beforeAutospacing="0" w:after="0" w:afterAutospacing="0"/>
        <w:rPr>
          <w:rFonts w:asciiTheme="minorHAnsi" w:eastAsia="Verdana" w:hAnsiTheme="minorHAnsi" w:cs="Verdana"/>
          <w:lang w:val="en-US"/>
        </w:rPr>
      </w:pPr>
    </w:p>
    <w:p w14:paraId="309256C1" w14:textId="77777777" w:rsidR="002B7152" w:rsidRPr="009C109B" w:rsidRDefault="002B7152" w:rsidP="009C109B">
      <w:pPr>
        <w:pStyle w:val="paragraph"/>
        <w:numPr>
          <w:ilvl w:val="0"/>
          <w:numId w:val="11"/>
        </w:numPr>
        <w:spacing w:before="0" w:beforeAutospacing="0" w:after="0" w:afterAutospacing="0"/>
        <w:textAlignment w:val="baseline"/>
        <w:rPr>
          <w:rFonts w:asciiTheme="minorHAnsi" w:eastAsia="Verdana" w:hAnsiTheme="minorHAnsi" w:cs="Verdana"/>
          <w:lang w:val="en-US"/>
        </w:rPr>
      </w:pPr>
      <w:r w:rsidRPr="009C109B">
        <w:rPr>
          <w:rStyle w:val="normaltextrun"/>
          <w:rFonts w:asciiTheme="minorHAnsi" w:eastAsiaTheme="majorEastAsia" w:hAnsiTheme="minorHAnsi" w:cs="Segoe UI"/>
        </w:rPr>
        <w:t>Fixed-term contracts</w:t>
      </w:r>
      <w:r w:rsidRPr="009C109B">
        <w:rPr>
          <w:rStyle w:val="eop"/>
          <w:rFonts w:asciiTheme="minorHAnsi" w:eastAsiaTheme="majorEastAsia" w:hAnsiTheme="minorHAnsi" w:cs="Segoe UI"/>
        </w:rPr>
        <w:t xml:space="preserve">  (including open ended contracts with an ‘at risk’ date): to include agreed limitations on their use, a minimum contract length of 24 months (other than in genuine cases of cover), a process to </w:t>
      </w:r>
      <w:r w:rsidRPr="009C109B">
        <w:rPr>
          <w:rFonts w:asciiTheme="minorHAnsi" w:eastAsia="Verdana" w:hAnsiTheme="minorHAnsi" w:cs="Verdana"/>
          <w:lang w:val="en-US"/>
        </w:rPr>
        <w:t xml:space="preserve">move all staff who have more than one contract extension  or with no more than 4 years’ service to genuine open ended contracts with a focus on better management </w:t>
      </w:r>
      <w:r w:rsidRPr="009C109B">
        <w:rPr>
          <w:rFonts w:asciiTheme="minorHAnsi" w:eastAsia="Verdana" w:hAnsiTheme="minorHAnsi" w:cs="Verdana"/>
          <w:lang w:val="en-US"/>
        </w:rPr>
        <w:lastRenderedPageBreak/>
        <w:t>of redeployment, the provision of bridging funds (for example for use between research grants for both research and support staff working on externally funded research projects) and a move to research ‘hubs’.</w:t>
      </w:r>
    </w:p>
    <w:p w14:paraId="7917072C" w14:textId="77777777" w:rsidR="002B7152" w:rsidRPr="009C109B" w:rsidRDefault="002B7152" w:rsidP="009C109B">
      <w:pPr>
        <w:pStyle w:val="paragraph"/>
        <w:spacing w:before="0" w:beforeAutospacing="0" w:after="0" w:afterAutospacing="0"/>
        <w:rPr>
          <w:rStyle w:val="normaltextrun"/>
          <w:rFonts w:asciiTheme="minorHAnsi" w:eastAsiaTheme="majorEastAsia" w:hAnsiTheme="minorHAnsi" w:cs="Segoe UI"/>
        </w:rPr>
      </w:pPr>
    </w:p>
    <w:p w14:paraId="037B13C1" w14:textId="7329A666" w:rsidR="002B7152" w:rsidRPr="009C109B" w:rsidRDefault="002B7152" w:rsidP="009C109B">
      <w:pPr>
        <w:pStyle w:val="paragraph"/>
        <w:numPr>
          <w:ilvl w:val="0"/>
          <w:numId w:val="11"/>
        </w:numPr>
        <w:spacing w:before="0" w:beforeAutospacing="0" w:after="0" w:afterAutospacing="0"/>
        <w:rPr>
          <w:rStyle w:val="normaltextrun"/>
          <w:rFonts w:asciiTheme="minorHAnsi" w:eastAsia="Verdana" w:hAnsiTheme="minorHAnsi" w:cs="Verdana"/>
          <w:lang w:val="en-US"/>
        </w:rPr>
      </w:pPr>
      <w:r w:rsidRPr="009C109B">
        <w:rPr>
          <w:rStyle w:val="normaltextrun"/>
          <w:rFonts w:asciiTheme="minorHAnsi" w:eastAsiaTheme="majorEastAsia" w:hAnsiTheme="minorHAnsi" w:cs="Segoe UI"/>
        </w:rPr>
        <w:t>Post Graduate Researchers (PGRs)</w:t>
      </w:r>
      <w:r w:rsidRPr="009C109B">
        <w:rPr>
          <w:rStyle w:val="eop"/>
          <w:rFonts w:asciiTheme="minorHAnsi" w:eastAsiaTheme="majorEastAsia" w:hAnsiTheme="minorHAnsi" w:cs="Segoe UI"/>
        </w:rPr>
        <w:t xml:space="preserve"> : to include </w:t>
      </w:r>
      <w:r w:rsidRPr="009C109B">
        <w:rPr>
          <w:rFonts w:asciiTheme="minorHAnsi" w:eastAsia="Verdana" w:hAnsiTheme="minorHAnsi" w:cs="Verdana"/>
          <w:lang w:val="en-US"/>
        </w:rPr>
        <w:t xml:space="preserve">an agreement to the principles in the </w:t>
      </w:r>
      <w:hyperlink r:id="rId13">
        <w:r w:rsidRPr="009C109B">
          <w:rPr>
            <w:rStyle w:val="Hyperlink"/>
            <w:rFonts w:asciiTheme="minorHAnsi" w:eastAsia="Verdana" w:hAnsiTheme="minorHAnsi" w:cs="Verdana"/>
            <w:color w:val="auto"/>
            <w:lang w:val="en-US"/>
          </w:rPr>
          <w:t>UCU PGR manifesto</w:t>
        </w:r>
      </w:hyperlink>
      <w:r w:rsidRPr="009C109B">
        <w:rPr>
          <w:rFonts w:asciiTheme="minorHAnsi" w:eastAsia="Verdana" w:hAnsiTheme="minorHAnsi" w:cs="Verdana"/>
          <w:lang w:val="en-US"/>
        </w:rPr>
        <w:t xml:space="preserve"> as the basis for local negotiations aimed at creating greater alignment between the terms and conditions for postgraduate researchers, in their capacity as doctoral researchers, and employees.</w:t>
      </w:r>
      <w:r w:rsidRPr="009C109B">
        <w:rPr>
          <w:rFonts w:asciiTheme="minorHAnsi" w:hAnsiTheme="minorHAnsi"/>
        </w:rPr>
        <w:br/>
      </w:r>
    </w:p>
    <w:p w14:paraId="23B194D4" w14:textId="6D8CC600" w:rsidR="002B7152" w:rsidRPr="009C109B" w:rsidRDefault="002B7152" w:rsidP="009C109B">
      <w:pPr>
        <w:pStyle w:val="paragraph"/>
        <w:numPr>
          <w:ilvl w:val="0"/>
          <w:numId w:val="11"/>
        </w:numPr>
        <w:spacing w:before="0" w:beforeAutospacing="0" w:after="0" w:afterAutospacing="0"/>
        <w:textAlignment w:val="baseline"/>
        <w:rPr>
          <w:rStyle w:val="eop"/>
          <w:rFonts w:asciiTheme="minorHAnsi" w:eastAsiaTheme="majorEastAsia" w:hAnsiTheme="minorHAnsi" w:cs="Segoe UI"/>
        </w:rPr>
      </w:pPr>
      <w:r w:rsidRPr="009C109B">
        <w:rPr>
          <w:rStyle w:val="normaltextrun"/>
          <w:rFonts w:asciiTheme="minorHAnsi" w:eastAsiaTheme="majorEastAsia" w:hAnsiTheme="minorHAnsi" w:cs="Segoe UI"/>
        </w:rPr>
        <w:t>Hourly-paid contracts</w:t>
      </w:r>
      <w:r w:rsidRPr="009C109B">
        <w:rPr>
          <w:rStyle w:val="eop"/>
          <w:rFonts w:asciiTheme="minorHAnsi" w:eastAsiaTheme="majorEastAsia" w:hAnsiTheme="minorHAnsi" w:cs="Segoe UI"/>
        </w:rPr>
        <w:t>: to include agreement on a process to move staff on hourly paid contracts to fractional contracts.</w:t>
      </w:r>
    </w:p>
    <w:p w14:paraId="6EA747F4" w14:textId="77777777" w:rsidR="002B7152" w:rsidRPr="009C109B" w:rsidRDefault="002B7152" w:rsidP="009C109B">
      <w:pPr>
        <w:pStyle w:val="paragraph"/>
        <w:spacing w:before="0" w:beforeAutospacing="0" w:after="0" w:afterAutospacing="0"/>
        <w:textAlignment w:val="baseline"/>
        <w:rPr>
          <w:rStyle w:val="normaltextrun"/>
          <w:rFonts w:asciiTheme="minorHAnsi" w:eastAsiaTheme="majorEastAsia" w:hAnsiTheme="minorHAnsi" w:cs="Segoe UI"/>
        </w:rPr>
      </w:pPr>
    </w:p>
    <w:p w14:paraId="22804BA9" w14:textId="77777777" w:rsidR="002B7152" w:rsidRPr="009C109B" w:rsidRDefault="002B7152" w:rsidP="009C109B">
      <w:pPr>
        <w:pStyle w:val="paragraph"/>
        <w:numPr>
          <w:ilvl w:val="0"/>
          <w:numId w:val="12"/>
        </w:numPr>
        <w:spacing w:before="0" w:beforeAutospacing="0" w:after="0" w:afterAutospacing="0"/>
        <w:textAlignment w:val="baseline"/>
        <w:rPr>
          <w:rStyle w:val="eop"/>
          <w:rFonts w:asciiTheme="minorHAnsi" w:eastAsiaTheme="majorEastAsia" w:hAnsiTheme="minorHAnsi" w:cs="Segoe UI"/>
        </w:rPr>
      </w:pPr>
      <w:r w:rsidRPr="009C109B">
        <w:rPr>
          <w:rStyle w:val="normaltextrun"/>
          <w:rFonts w:asciiTheme="minorHAnsi" w:eastAsiaTheme="majorEastAsia" w:hAnsiTheme="minorHAnsi" w:cs="Segoe UI"/>
        </w:rPr>
        <w:t>Review progress on reducing casualisation for different contract types on an annual basis.</w:t>
      </w:r>
      <w:r w:rsidRPr="009C109B">
        <w:rPr>
          <w:rStyle w:val="eop"/>
          <w:rFonts w:asciiTheme="minorHAnsi" w:eastAsiaTheme="majorEastAsia" w:hAnsiTheme="minorHAnsi" w:cs="Segoe UI"/>
        </w:rPr>
        <w:t> </w:t>
      </w:r>
    </w:p>
    <w:p w14:paraId="2EE35B27" w14:textId="77777777" w:rsidR="002B7152" w:rsidRPr="009C109B" w:rsidRDefault="002B7152" w:rsidP="009C109B">
      <w:pPr>
        <w:pStyle w:val="paragraph"/>
        <w:spacing w:before="0" w:beforeAutospacing="0" w:after="0" w:afterAutospacing="0"/>
        <w:textAlignment w:val="baseline"/>
        <w:rPr>
          <w:rStyle w:val="normaltextrun"/>
          <w:rFonts w:asciiTheme="minorHAnsi" w:eastAsiaTheme="majorEastAsia" w:hAnsiTheme="minorHAnsi" w:cs="Segoe UI"/>
        </w:rPr>
      </w:pPr>
    </w:p>
    <w:p w14:paraId="632CA8F4" w14:textId="77777777" w:rsidR="002B7152" w:rsidRPr="009C109B" w:rsidRDefault="002B7152" w:rsidP="009C109B">
      <w:pPr>
        <w:pStyle w:val="paragraph"/>
        <w:numPr>
          <w:ilvl w:val="0"/>
          <w:numId w:val="12"/>
        </w:numPr>
        <w:spacing w:before="0" w:beforeAutospacing="0" w:after="0" w:afterAutospacing="0"/>
        <w:textAlignment w:val="baseline"/>
        <w:rPr>
          <w:rStyle w:val="normaltextrun"/>
          <w:rFonts w:asciiTheme="minorHAnsi" w:hAnsiTheme="minorHAnsi" w:cs="Segoe UI"/>
        </w:rPr>
      </w:pPr>
      <w:r w:rsidRPr="009C109B">
        <w:rPr>
          <w:rStyle w:val="normaltextrun"/>
          <w:rFonts w:asciiTheme="minorHAnsi" w:eastAsiaTheme="majorEastAsia" w:hAnsiTheme="minorHAnsi" w:cs="Segoe UI"/>
        </w:rPr>
        <w:t xml:space="preserve">Recommend to UCEA’s members to carry out an Equality Impact Assessment when undertaking work relating to contract types so that mitigating action can be taken </w:t>
      </w:r>
      <w:proofErr w:type="gramStart"/>
      <w:r w:rsidRPr="009C109B">
        <w:rPr>
          <w:rStyle w:val="normaltextrun"/>
          <w:rFonts w:asciiTheme="minorHAnsi" w:eastAsiaTheme="majorEastAsia" w:hAnsiTheme="minorHAnsi" w:cs="Segoe UI"/>
        </w:rPr>
        <w:t>with regard to</w:t>
      </w:r>
      <w:proofErr w:type="gramEnd"/>
      <w:r w:rsidRPr="009C109B">
        <w:rPr>
          <w:rStyle w:val="normaltextrun"/>
          <w:rFonts w:asciiTheme="minorHAnsi" w:eastAsiaTheme="majorEastAsia" w:hAnsiTheme="minorHAnsi" w:cs="Segoe UI"/>
        </w:rPr>
        <w:t xml:space="preserve"> any adverse impact/s identified.</w:t>
      </w:r>
      <w:r w:rsidRPr="009C109B">
        <w:rPr>
          <w:rStyle w:val="eop"/>
          <w:rFonts w:asciiTheme="minorHAnsi" w:eastAsiaTheme="majorEastAsia" w:hAnsiTheme="minorHAnsi" w:cs="Segoe UI"/>
        </w:rPr>
        <w:t> </w:t>
      </w:r>
    </w:p>
    <w:p w14:paraId="7AB4ECB8" w14:textId="77777777" w:rsidR="003C4D1B" w:rsidRDefault="002B7152" w:rsidP="003C4D1B">
      <w:pPr>
        <w:pStyle w:val="paragraph"/>
        <w:shd w:val="clear" w:color="auto" w:fill="FFFFFF" w:themeFill="background1"/>
        <w:spacing w:before="0" w:after="0" w:afterAutospacing="0"/>
        <w:textAlignment w:val="baseline"/>
        <w:rPr>
          <w:rStyle w:val="eop"/>
          <w:rFonts w:asciiTheme="minorHAnsi" w:eastAsiaTheme="majorEastAsia" w:hAnsiTheme="minorHAnsi" w:cs="Segoe UI"/>
        </w:rPr>
      </w:pPr>
      <w:r w:rsidRPr="009C109B">
        <w:rPr>
          <w:rStyle w:val="normaltextrun"/>
          <w:rFonts w:asciiTheme="minorHAnsi" w:eastAsiaTheme="majorEastAsia" w:hAnsiTheme="minorHAnsi" w:cs="Segoe UI"/>
        </w:rPr>
        <w:t xml:space="preserve">This section of the pay claim comes under section 7 of the New JNCHES Agreement, 26 March 2013 which references fixed-term, hourly paid, and low pay (which relates to the outsourced services which, in many cases, employ staff on the lowest rates of pay.) Additionally, section 8 of </w:t>
      </w:r>
      <w:r w:rsidR="006177CA" w:rsidRPr="009C109B">
        <w:rPr>
          <w:rStyle w:val="normaltextrun"/>
          <w:rFonts w:asciiTheme="minorHAnsi" w:eastAsiaTheme="majorEastAsia" w:hAnsiTheme="minorHAnsi" w:cs="Segoe UI"/>
        </w:rPr>
        <w:t>the</w:t>
      </w:r>
      <w:r w:rsidRPr="009C109B">
        <w:rPr>
          <w:rStyle w:val="normaltextrun"/>
          <w:rFonts w:asciiTheme="minorHAnsi" w:eastAsiaTheme="majorEastAsia" w:hAnsiTheme="minorHAnsi" w:cs="Segoe UI"/>
        </w:rPr>
        <w:t xml:space="preserve"> third bullet point, states that ‘areas of employment practice...with the potential to produce material for dissemination to institutions”, in the New JNCHES Agreement, 26 March 2013.</w:t>
      </w:r>
      <w:r w:rsidRPr="009C109B">
        <w:rPr>
          <w:rStyle w:val="eop"/>
          <w:rFonts w:asciiTheme="minorHAnsi" w:eastAsiaTheme="majorEastAsia" w:hAnsiTheme="minorHAnsi" w:cs="Segoe UI"/>
        </w:rPr>
        <w:t> </w:t>
      </w:r>
    </w:p>
    <w:p w14:paraId="081F8594" w14:textId="77777777" w:rsidR="003C4D1B" w:rsidRDefault="003C4D1B" w:rsidP="003C4D1B">
      <w:pPr>
        <w:pStyle w:val="paragraph"/>
        <w:shd w:val="clear" w:color="auto" w:fill="FFFFFF" w:themeFill="background1"/>
        <w:spacing w:before="0" w:after="0" w:afterAutospacing="0"/>
        <w:textAlignment w:val="baseline"/>
        <w:rPr>
          <w:rStyle w:val="eop"/>
          <w:rFonts w:asciiTheme="minorHAnsi" w:eastAsiaTheme="majorEastAsia" w:hAnsiTheme="minorHAnsi" w:cs="Segoe UI"/>
        </w:rPr>
      </w:pPr>
    </w:p>
    <w:p w14:paraId="260E2872" w14:textId="0CD24BDC" w:rsidR="00972352" w:rsidRPr="003C4D1B" w:rsidRDefault="00972352" w:rsidP="003C4D1B">
      <w:pPr>
        <w:pStyle w:val="paragraph"/>
        <w:shd w:val="clear" w:color="auto" w:fill="FFFFFF" w:themeFill="background1"/>
        <w:spacing w:before="0" w:beforeAutospacing="0" w:after="240" w:afterAutospacing="0"/>
        <w:textAlignment w:val="baseline"/>
        <w:rPr>
          <w:rStyle w:val="eop"/>
          <w:rFonts w:asciiTheme="minorHAnsi" w:eastAsiaTheme="majorEastAsia" w:hAnsiTheme="minorHAnsi" w:cs="Segoe UI"/>
        </w:rPr>
      </w:pPr>
      <w:r w:rsidRPr="009D35C3">
        <w:rPr>
          <w:rStyle w:val="eop"/>
          <w:rFonts w:asciiTheme="minorHAnsi" w:eastAsiaTheme="majorEastAsia" w:hAnsiTheme="minorHAnsi" w:cs="Segoe UI"/>
          <w:b/>
          <w:bCs/>
        </w:rPr>
        <w:t>Term Time Only Contracts</w:t>
      </w:r>
    </w:p>
    <w:p w14:paraId="10610975" w14:textId="000A12D3" w:rsidR="00972352" w:rsidRPr="009D35C3" w:rsidRDefault="00353D9A" w:rsidP="009C109B">
      <w:pPr>
        <w:pStyle w:val="paragraph"/>
        <w:shd w:val="clear" w:color="auto" w:fill="FFFFFF" w:themeFill="background1"/>
        <w:spacing w:before="0" w:beforeAutospacing="0" w:after="0" w:afterAutospacing="0"/>
        <w:textAlignment w:val="baseline"/>
        <w:rPr>
          <w:rFonts w:asciiTheme="minorHAnsi" w:hAnsiTheme="minorHAnsi" w:cs="Segoe UI"/>
        </w:rPr>
      </w:pPr>
      <w:r w:rsidRPr="009D35C3">
        <w:rPr>
          <w:rFonts w:asciiTheme="minorHAnsi" w:hAnsiTheme="minorHAnsi" w:cs="Segoe UI"/>
        </w:rPr>
        <w:t xml:space="preserve">As part of last year’s pay negotiations, the trade union side raised the </w:t>
      </w:r>
      <w:r w:rsidR="00BD2B60" w:rsidRPr="009D35C3">
        <w:rPr>
          <w:rFonts w:asciiTheme="minorHAnsi" w:hAnsiTheme="minorHAnsi" w:cs="Segoe UI"/>
        </w:rPr>
        <w:t xml:space="preserve">issue of the need for joint guidance for staff employed on term time only contracts. </w:t>
      </w:r>
      <w:r w:rsidR="002706F1" w:rsidRPr="009D35C3">
        <w:rPr>
          <w:rFonts w:asciiTheme="minorHAnsi" w:hAnsiTheme="minorHAnsi" w:cs="Segoe UI"/>
        </w:rPr>
        <w:t>There ha</w:t>
      </w:r>
      <w:r w:rsidR="00F62DE7" w:rsidRPr="009D35C3">
        <w:rPr>
          <w:rFonts w:asciiTheme="minorHAnsi" w:hAnsiTheme="minorHAnsi" w:cs="Segoe UI"/>
        </w:rPr>
        <w:t>ve</w:t>
      </w:r>
      <w:r w:rsidR="002706F1" w:rsidRPr="009D35C3">
        <w:rPr>
          <w:rFonts w:asciiTheme="minorHAnsi" w:hAnsiTheme="minorHAnsi" w:cs="Segoe UI"/>
        </w:rPr>
        <w:t xml:space="preserve"> been substantial changes in statutory guidance and </w:t>
      </w:r>
      <w:r w:rsidR="001B13BC" w:rsidRPr="009D35C3">
        <w:rPr>
          <w:rFonts w:asciiTheme="minorHAnsi" w:hAnsiTheme="minorHAnsi" w:cs="Segoe UI"/>
        </w:rPr>
        <w:t xml:space="preserve">legal precedents in relation to workers on </w:t>
      </w:r>
      <w:proofErr w:type="gramStart"/>
      <w:r w:rsidR="001B13BC" w:rsidRPr="009D35C3">
        <w:rPr>
          <w:rFonts w:asciiTheme="minorHAnsi" w:hAnsiTheme="minorHAnsi" w:cs="Segoe UI"/>
        </w:rPr>
        <w:t>these</w:t>
      </w:r>
      <w:r w:rsidR="00161110" w:rsidRPr="009D35C3">
        <w:rPr>
          <w:rFonts w:asciiTheme="minorHAnsi" w:hAnsiTheme="minorHAnsi" w:cs="Segoe UI"/>
        </w:rPr>
        <w:t xml:space="preserve"> type of contracts</w:t>
      </w:r>
      <w:proofErr w:type="gramEnd"/>
      <w:r w:rsidR="00161110" w:rsidRPr="009D35C3">
        <w:rPr>
          <w:rFonts w:asciiTheme="minorHAnsi" w:hAnsiTheme="minorHAnsi" w:cs="Segoe UI"/>
        </w:rPr>
        <w:t>.</w:t>
      </w:r>
    </w:p>
    <w:p w14:paraId="3FF4E5EC" w14:textId="77777777" w:rsidR="00070A51" w:rsidRPr="009D35C3" w:rsidRDefault="00161110" w:rsidP="009C109B">
      <w:pPr>
        <w:pStyle w:val="paragraph"/>
        <w:shd w:val="clear" w:color="auto" w:fill="FFFFFF" w:themeFill="background1"/>
        <w:spacing w:before="0" w:after="0" w:afterAutospacing="0"/>
        <w:textAlignment w:val="baseline"/>
        <w:rPr>
          <w:rFonts w:asciiTheme="minorHAnsi" w:hAnsiTheme="minorHAnsi" w:cs="Segoe UI"/>
        </w:rPr>
      </w:pPr>
      <w:r w:rsidRPr="009D35C3">
        <w:rPr>
          <w:rFonts w:asciiTheme="minorHAnsi" w:hAnsiTheme="minorHAnsi" w:cs="Segoe UI"/>
        </w:rPr>
        <w:t xml:space="preserve">The trade union side believe that many staff on term time only contracts are routinely being treated </w:t>
      </w:r>
      <w:r w:rsidR="00070A51" w:rsidRPr="009D35C3">
        <w:rPr>
          <w:rFonts w:asciiTheme="minorHAnsi" w:hAnsiTheme="minorHAnsi" w:cs="Segoe UI"/>
        </w:rPr>
        <w:t>less favourably than full time equivalent colleagues, particularly in relation to the allocation of annual leave.</w:t>
      </w:r>
    </w:p>
    <w:p w14:paraId="0063A106" w14:textId="1D80EBF1" w:rsidR="00070A51" w:rsidRPr="009D35C3" w:rsidRDefault="00070A51" w:rsidP="009C109B">
      <w:pPr>
        <w:pStyle w:val="paragraph"/>
        <w:shd w:val="clear" w:color="auto" w:fill="FFFFFF" w:themeFill="background1"/>
        <w:spacing w:before="0" w:after="0" w:afterAutospacing="0"/>
        <w:textAlignment w:val="baseline"/>
        <w:rPr>
          <w:rFonts w:asciiTheme="minorHAnsi" w:hAnsiTheme="minorHAnsi" w:cs="Segoe UI"/>
        </w:rPr>
      </w:pPr>
      <w:r w:rsidRPr="009D35C3">
        <w:rPr>
          <w:rFonts w:asciiTheme="minorHAnsi" w:hAnsiTheme="minorHAnsi" w:cs="Segoe UI"/>
        </w:rPr>
        <w:t xml:space="preserve">We believe that </w:t>
      </w:r>
      <w:r w:rsidR="00346F4E" w:rsidRPr="009D35C3">
        <w:rPr>
          <w:rFonts w:asciiTheme="minorHAnsi" w:hAnsiTheme="minorHAnsi" w:cs="Segoe UI"/>
        </w:rPr>
        <w:t xml:space="preserve">we should be looking to issue joint guidance on this issue, either through, or independently from the contract types </w:t>
      </w:r>
      <w:r w:rsidR="00F62DE7" w:rsidRPr="009D35C3">
        <w:rPr>
          <w:rFonts w:asciiTheme="minorHAnsi" w:hAnsiTheme="minorHAnsi" w:cs="Segoe UI"/>
        </w:rPr>
        <w:t>working group.</w:t>
      </w:r>
    </w:p>
    <w:p w14:paraId="3C806C7D" w14:textId="77777777" w:rsidR="00FA1040" w:rsidRDefault="00FA1040" w:rsidP="008677DB">
      <w:pPr>
        <w:pStyle w:val="Default"/>
        <w:spacing w:after="240"/>
        <w:rPr>
          <w:rFonts w:asciiTheme="minorHAnsi" w:hAnsiTheme="minorHAnsi" w:cs="Calibri"/>
          <w:color w:val="auto"/>
        </w:rPr>
      </w:pPr>
    </w:p>
    <w:p w14:paraId="3304AFE6" w14:textId="750C89A6" w:rsidR="002C4242" w:rsidRPr="008677DB" w:rsidRDefault="00587170" w:rsidP="008677DB">
      <w:pPr>
        <w:pStyle w:val="Default"/>
        <w:spacing w:after="240"/>
        <w:rPr>
          <w:rFonts w:asciiTheme="minorHAnsi" w:hAnsiTheme="minorHAnsi" w:cs="Calibri"/>
          <w:b/>
          <w:bCs/>
          <w:color w:val="auto"/>
        </w:rPr>
      </w:pPr>
      <w:r w:rsidRPr="008677DB">
        <w:rPr>
          <w:rFonts w:asciiTheme="minorHAnsi" w:hAnsiTheme="minorHAnsi" w:cs="Calibri"/>
          <w:b/>
          <w:bCs/>
          <w:color w:val="auto"/>
        </w:rPr>
        <w:t>Workload</w:t>
      </w:r>
    </w:p>
    <w:p w14:paraId="1278E936" w14:textId="3066B93D" w:rsidR="005527CF" w:rsidRDefault="005527CF" w:rsidP="009C109B">
      <w:pPr>
        <w:pStyle w:val="Default"/>
        <w:rPr>
          <w:rFonts w:asciiTheme="minorHAnsi" w:hAnsiTheme="minorHAnsi" w:cs="Calibri"/>
          <w:color w:val="auto"/>
        </w:rPr>
      </w:pPr>
      <w:r w:rsidRPr="009C109B">
        <w:rPr>
          <w:rFonts w:asciiTheme="minorHAnsi" w:hAnsiTheme="minorHAnsi" w:cs="Calibri"/>
          <w:color w:val="auto"/>
        </w:rPr>
        <w:t>The trade unions wish to make it explicitly clear that actions need to be taken by employers to reduce unsafe and excessive workloads, and that such excessive workloads mean, in effect, that staff are doing more work for less pay.</w:t>
      </w:r>
    </w:p>
    <w:p w14:paraId="3919FD36" w14:textId="77777777" w:rsidR="007439E7" w:rsidRPr="009C109B" w:rsidRDefault="007439E7" w:rsidP="009C109B">
      <w:pPr>
        <w:pStyle w:val="Default"/>
        <w:rPr>
          <w:rFonts w:asciiTheme="minorHAnsi" w:hAnsiTheme="minorHAnsi" w:cs="Calibri"/>
          <w:color w:val="auto"/>
        </w:rPr>
      </w:pPr>
    </w:p>
    <w:p w14:paraId="439768E6" w14:textId="77777777" w:rsidR="005527CF" w:rsidRPr="009C109B" w:rsidRDefault="005527CF" w:rsidP="009C109B">
      <w:pPr>
        <w:pStyle w:val="Default"/>
        <w:rPr>
          <w:rFonts w:asciiTheme="minorHAnsi" w:hAnsiTheme="minorHAnsi" w:cs="Calibri"/>
          <w:color w:val="auto"/>
        </w:rPr>
      </w:pPr>
      <w:r w:rsidRPr="009C109B">
        <w:rPr>
          <w:rFonts w:asciiTheme="minorHAnsi" w:hAnsiTheme="minorHAnsi" w:cs="Calibri"/>
          <w:color w:val="auto"/>
        </w:rPr>
        <w:t>The latest estimates from the Labour Force Survey (LFS) show:</w:t>
      </w:r>
    </w:p>
    <w:p w14:paraId="1930D662" w14:textId="77777777" w:rsidR="00A16B15" w:rsidRPr="009C109B" w:rsidRDefault="00A16B15" w:rsidP="009C109B">
      <w:pPr>
        <w:pStyle w:val="Default"/>
        <w:rPr>
          <w:rFonts w:asciiTheme="minorHAnsi" w:hAnsiTheme="minorHAnsi" w:cs="Calibri"/>
          <w:color w:val="auto"/>
        </w:rPr>
      </w:pPr>
    </w:p>
    <w:p w14:paraId="22A026CF" w14:textId="0E1B2B86" w:rsidR="005527CF" w:rsidRPr="009C109B" w:rsidRDefault="005527CF" w:rsidP="009C109B">
      <w:pPr>
        <w:pStyle w:val="Default"/>
        <w:numPr>
          <w:ilvl w:val="0"/>
          <w:numId w:val="5"/>
        </w:numPr>
        <w:rPr>
          <w:rFonts w:asciiTheme="minorHAnsi" w:hAnsiTheme="minorHAnsi" w:cs="Calibri"/>
          <w:color w:val="auto"/>
        </w:rPr>
      </w:pPr>
      <w:r w:rsidRPr="009C109B">
        <w:rPr>
          <w:rFonts w:asciiTheme="minorHAnsi" w:hAnsiTheme="minorHAnsi" w:cs="Calibri"/>
          <w:color w:val="auto"/>
        </w:rPr>
        <w:t xml:space="preserve">In 2020/21 there were an estimated 822,000 workers affected by work-related stress, </w:t>
      </w:r>
      <w:r w:rsidR="007C6A53" w:rsidRPr="009C109B">
        <w:rPr>
          <w:rFonts w:asciiTheme="minorHAnsi" w:hAnsiTheme="minorHAnsi" w:cs="Calibri"/>
          <w:color w:val="auto"/>
        </w:rPr>
        <w:t>depression,</w:t>
      </w:r>
      <w:r w:rsidRPr="009C109B">
        <w:rPr>
          <w:rFonts w:asciiTheme="minorHAnsi" w:hAnsiTheme="minorHAnsi" w:cs="Calibri"/>
          <w:color w:val="auto"/>
        </w:rPr>
        <w:t xml:space="preserve"> or anxiety. This represents 2,480 per 100,000 workers. The rate of work-related stress depression and anxiety has increased in recent years.  </w:t>
      </w:r>
    </w:p>
    <w:p w14:paraId="74FD9236" w14:textId="0031DAD4" w:rsidR="005527CF" w:rsidRPr="009C109B" w:rsidRDefault="005527CF" w:rsidP="009C109B">
      <w:pPr>
        <w:pStyle w:val="Default"/>
        <w:numPr>
          <w:ilvl w:val="0"/>
          <w:numId w:val="4"/>
        </w:numPr>
        <w:rPr>
          <w:rFonts w:asciiTheme="minorHAnsi" w:hAnsiTheme="minorHAnsi" w:cs="Calibri"/>
          <w:color w:val="auto"/>
        </w:rPr>
      </w:pPr>
      <w:r w:rsidRPr="009C109B">
        <w:rPr>
          <w:rFonts w:asciiTheme="minorHAnsi" w:hAnsiTheme="minorHAnsi" w:cs="Calibri"/>
          <w:color w:val="auto"/>
        </w:rPr>
        <w:t xml:space="preserve">The number of new cases was 451,000, an incidence rate of 1,360 per 100,000 workers. The total number of working days lost due to this condition in 2019/20 was 17.9 million days. This equated to an average of 21.6 days lost per case. Working days lost per worker due to self-reported work-related stress, depression or anxiety shows no clear trend. </w:t>
      </w:r>
    </w:p>
    <w:p w14:paraId="3EDF189B" w14:textId="2C397776" w:rsidR="005527CF" w:rsidRPr="009C109B" w:rsidRDefault="005527CF" w:rsidP="009C109B">
      <w:pPr>
        <w:pStyle w:val="Default"/>
        <w:numPr>
          <w:ilvl w:val="0"/>
          <w:numId w:val="4"/>
        </w:numPr>
        <w:rPr>
          <w:rFonts w:asciiTheme="minorHAnsi" w:hAnsiTheme="minorHAnsi" w:cs="Calibri"/>
          <w:color w:val="auto"/>
        </w:rPr>
      </w:pPr>
      <w:r w:rsidRPr="009C109B">
        <w:rPr>
          <w:rFonts w:asciiTheme="minorHAnsi" w:hAnsiTheme="minorHAnsi" w:cs="Calibri"/>
          <w:color w:val="auto"/>
        </w:rPr>
        <w:t>In 2020/21 work-related stress, depression or anxiety accounted for 50% of all work-related ill health.</w:t>
      </w:r>
    </w:p>
    <w:p w14:paraId="0FBFB6DF" w14:textId="6A31C9F4" w:rsidR="005527CF" w:rsidRPr="009C109B" w:rsidRDefault="005527CF" w:rsidP="009C109B">
      <w:pPr>
        <w:pStyle w:val="Default"/>
        <w:numPr>
          <w:ilvl w:val="0"/>
          <w:numId w:val="4"/>
        </w:numPr>
        <w:rPr>
          <w:rFonts w:asciiTheme="minorHAnsi" w:hAnsiTheme="minorHAnsi" w:cs="Calibri"/>
          <w:color w:val="auto"/>
        </w:rPr>
      </w:pPr>
      <w:r w:rsidRPr="009C109B">
        <w:rPr>
          <w:rFonts w:asciiTheme="minorHAnsi" w:hAnsiTheme="minorHAnsi" w:cs="Calibri"/>
          <w:color w:val="auto"/>
        </w:rPr>
        <w:t>In 2019/20 stress, depression or anxiety accounted for 51% of all work-related ill health cases and 55% of all working days lost due to work-related ill health.</w:t>
      </w:r>
    </w:p>
    <w:p w14:paraId="48D74434" w14:textId="6C92449C" w:rsidR="005527CF" w:rsidRPr="009C109B" w:rsidRDefault="005527CF" w:rsidP="009C109B">
      <w:pPr>
        <w:pStyle w:val="Default"/>
        <w:numPr>
          <w:ilvl w:val="0"/>
          <w:numId w:val="4"/>
        </w:numPr>
        <w:rPr>
          <w:rFonts w:asciiTheme="minorHAnsi" w:hAnsiTheme="minorHAnsi" w:cs="Calibri"/>
          <w:color w:val="auto"/>
        </w:rPr>
      </w:pPr>
      <w:r w:rsidRPr="009C109B">
        <w:rPr>
          <w:rFonts w:asciiTheme="minorHAnsi" w:hAnsiTheme="minorHAnsi" w:cs="Calibri"/>
          <w:color w:val="auto"/>
        </w:rPr>
        <w:t>Stress, depression or anxiety is more prevalent in public service industries, such as education; health and social care; and public administration and defence. By occupation, professional occupations that are common across public service industries (such as healthcare workers; teaching professionals and public service professionals) show higher levels of stress as compared to all jobs.</w:t>
      </w:r>
    </w:p>
    <w:p w14:paraId="05606BC4" w14:textId="53353831" w:rsidR="005527CF" w:rsidRPr="009C109B" w:rsidRDefault="005527CF" w:rsidP="009C109B">
      <w:pPr>
        <w:pStyle w:val="Default"/>
        <w:numPr>
          <w:ilvl w:val="0"/>
          <w:numId w:val="4"/>
        </w:numPr>
        <w:rPr>
          <w:rFonts w:asciiTheme="minorHAnsi" w:hAnsiTheme="minorHAnsi" w:cs="Calibri"/>
          <w:color w:val="auto"/>
        </w:rPr>
      </w:pPr>
      <w:r w:rsidRPr="009C109B">
        <w:rPr>
          <w:rFonts w:asciiTheme="minorHAnsi" w:hAnsiTheme="minorHAnsi" w:cs="Calibri"/>
          <w:color w:val="auto"/>
        </w:rPr>
        <w:t>The main work factors cited by respondents as causing work-related stress, depression or anxiety were workload pressures, including tight deadlines and too much responsibility and a lack of managerial support (2009/10-2011/12).</w:t>
      </w:r>
    </w:p>
    <w:p w14:paraId="263E2C6B" w14:textId="5019E839" w:rsidR="005527CF" w:rsidRPr="009C109B" w:rsidRDefault="005527CF" w:rsidP="009C109B">
      <w:pPr>
        <w:pStyle w:val="Default"/>
        <w:numPr>
          <w:ilvl w:val="0"/>
          <w:numId w:val="4"/>
        </w:numPr>
        <w:rPr>
          <w:rFonts w:asciiTheme="minorHAnsi" w:hAnsiTheme="minorHAnsi" w:cs="Calibri"/>
          <w:color w:val="auto"/>
        </w:rPr>
      </w:pPr>
      <w:r w:rsidRPr="009C109B">
        <w:rPr>
          <w:rFonts w:asciiTheme="minorHAnsi" w:hAnsiTheme="minorHAnsi" w:cs="Calibri"/>
          <w:color w:val="auto"/>
        </w:rPr>
        <w:t xml:space="preserve">In the recent years prior to the coronavirus pandemic, the rate of self-reported </w:t>
      </w:r>
      <w:r w:rsidR="00237309" w:rsidRPr="009C109B">
        <w:rPr>
          <w:rFonts w:asciiTheme="minorHAnsi" w:hAnsiTheme="minorHAnsi" w:cs="Calibri"/>
          <w:color w:val="auto"/>
        </w:rPr>
        <w:t>work-related</w:t>
      </w:r>
      <w:r w:rsidRPr="009C109B">
        <w:rPr>
          <w:rFonts w:asciiTheme="minorHAnsi" w:hAnsiTheme="minorHAnsi" w:cs="Calibri"/>
          <w:color w:val="auto"/>
        </w:rPr>
        <w:t xml:space="preserve"> stress, depression or anxiety had shown signs of increasing. In 2020/21 the rate was higher than the 2018/19 pre-coronavirus levels. The latest year (2020/21) is not statistically different compared to the previous year. Evidence suggests this is not related to COVID-19 (see Annex 1).</w:t>
      </w:r>
    </w:p>
    <w:p w14:paraId="08024FA9" w14:textId="77777777" w:rsidR="00FA1040" w:rsidRPr="009C109B" w:rsidRDefault="00FA1040" w:rsidP="003C4D1B">
      <w:pPr>
        <w:pStyle w:val="Default"/>
        <w:spacing w:after="240"/>
        <w:rPr>
          <w:rFonts w:asciiTheme="minorHAnsi" w:hAnsiTheme="minorHAnsi" w:cs="Calibri"/>
          <w:color w:val="auto"/>
        </w:rPr>
      </w:pPr>
    </w:p>
    <w:p w14:paraId="014AB7AB" w14:textId="77777777" w:rsidR="00587170" w:rsidRPr="003C4D1B" w:rsidRDefault="00587170" w:rsidP="003C4D1B">
      <w:pPr>
        <w:pStyle w:val="Default"/>
        <w:spacing w:after="240"/>
        <w:rPr>
          <w:rFonts w:asciiTheme="minorHAnsi" w:hAnsiTheme="minorHAnsi" w:cs="Calibri"/>
          <w:b/>
          <w:bCs/>
          <w:color w:val="auto"/>
        </w:rPr>
      </w:pPr>
      <w:r w:rsidRPr="003C4D1B">
        <w:rPr>
          <w:rFonts w:asciiTheme="minorHAnsi" w:hAnsiTheme="minorHAnsi" w:cs="Calibri"/>
          <w:b/>
          <w:bCs/>
          <w:color w:val="auto"/>
        </w:rPr>
        <w:t>Equality Pay Gaps</w:t>
      </w:r>
    </w:p>
    <w:p w14:paraId="50AA4000" w14:textId="77777777" w:rsidR="00FA01B6" w:rsidRPr="009C109B" w:rsidRDefault="00FA01B6" w:rsidP="009C109B">
      <w:pPr>
        <w:spacing w:after="160" w:line="259" w:lineRule="auto"/>
        <w:rPr>
          <w:rFonts w:asciiTheme="minorHAnsi" w:hAnsiTheme="minorHAnsi" w:cstheme="minorBidi"/>
          <w:kern w:val="2"/>
          <w:sz w:val="24"/>
          <w:szCs w:val="24"/>
        </w:rPr>
      </w:pPr>
      <w:r w:rsidRPr="009C109B">
        <w:rPr>
          <w:rFonts w:asciiTheme="minorHAnsi" w:eastAsia="Verdana" w:hAnsiTheme="minorHAnsi" w:cs="Verdana"/>
          <w:kern w:val="2"/>
          <w:sz w:val="24"/>
          <w:szCs w:val="24"/>
        </w:rPr>
        <w:t xml:space="preserve">The joint unions are again calling for UK-level agreed action for HE institutions to close the gender pay gap and to specifically address the ethnic and disability pay gaps, taking account of ways in which intersectionality affects pay and grading. </w:t>
      </w:r>
    </w:p>
    <w:p w14:paraId="2E66138C" w14:textId="76563BAF" w:rsidR="00FA01B6" w:rsidRPr="009C109B" w:rsidRDefault="00FA01B6" w:rsidP="009C109B">
      <w:pPr>
        <w:spacing w:after="160" w:line="259" w:lineRule="auto"/>
        <w:rPr>
          <w:rFonts w:asciiTheme="minorHAnsi" w:hAnsiTheme="minorHAnsi" w:cstheme="minorBidi"/>
          <w:kern w:val="2"/>
          <w:sz w:val="24"/>
          <w:szCs w:val="24"/>
        </w:rPr>
      </w:pPr>
      <w:r w:rsidRPr="009C109B">
        <w:rPr>
          <w:rFonts w:asciiTheme="minorHAnsi" w:eastAsia="Verdana" w:hAnsiTheme="minorHAnsi" w:cs="Verdana"/>
          <w:kern w:val="2"/>
          <w:sz w:val="24"/>
          <w:szCs w:val="24"/>
        </w:rPr>
        <w:t xml:space="preserve">Every year the official pay data in UK higher education shows continuing, </w:t>
      </w:r>
      <w:r w:rsidR="004657C5" w:rsidRPr="009C109B">
        <w:rPr>
          <w:rFonts w:asciiTheme="minorHAnsi" w:eastAsia="Verdana" w:hAnsiTheme="minorHAnsi" w:cs="Verdana"/>
          <w:kern w:val="2"/>
          <w:sz w:val="24"/>
          <w:szCs w:val="24"/>
        </w:rPr>
        <w:t>shameful,</w:t>
      </w:r>
      <w:r w:rsidRPr="009C109B">
        <w:rPr>
          <w:rFonts w:asciiTheme="minorHAnsi" w:eastAsia="Verdana" w:hAnsiTheme="minorHAnsi" w:cs="Verdana"/>
          <w:kern w:val="2"/>
          <w:sz w:val="24"/>
          <w:szCs w:val="24"/>
        </w:rPr>
        <w:t xml:space="preserve"> and persistent pay inequality. UK universities promote the values of equality, yet it is more than fifty years since the Equal Pay Act and the sector still has huge and, in some cases, growing gaps in the pay of men and women. </w:t>
      </w:r>
    </w:p>
    <w:p w14:paraId="7060D2DD" w14:textId="77777777" w:rsidR="00FA01B6" w:rsidRPr="009C109B" w:rsidRDefault="00FA01B6" w:rsidP="009C109B">
      <w:pPr>
        <w:spacing w:after="160" w:line="259" w:lineRule="auto"/>
        <w:rPr>
          <w:rFonts w:asciiTheme="minorHAnsi" w:hAnsiTheme="minorHAnsi" w:cstheme="minorBidi"/>
          <w:kern w:val="2"/>
          <w:sz w:val="24"/>
          <w:szCs w:val="24"/>
        </w:rPr>
      </w:pPr>
      <w:r w:rsidRPr="009C109B">
        <w:rPr>
          <w:rFonts w:asciiTheme="minorHAnsi" w:eastAsia="Verdana" w:hAnsiTheme="minorHAnsi" w:cs="Verdana"/>
          <w:kern w:val="2"/>
          <w:sz w:val="24"/>
          <w:szCs w:val="24"/>
        </w:rPr>
        <w:t xml:space="preserve">In March 2024 HEPI produced a report for England and Wales which highlighted that the gender pay gap median is 11.9% across the HE </w:t>
      </w:r>
      <w:proofErr w:type="gramStart"/>
      <w:r w:rsidRPr="009C109B">
        <w:rPr>
          <w:rFonts w:asciiTheme="minorHAnsi" w:eastAsia="Verdana" w:hAnsiTheme="minorHAnsi" w:cs="Verdana"/>
          <w:kern w:val="2"/>
          <w:sz w:val="24"/>
          <w:szCs w:val="24"/>
        </w:rPr>
        <w:t>sector</w:t>
      </w:r>
      <w:proofErr w:type="gramEnd"/>
      <w:r w:rsidRPr="009C109B">
        <w:rPr>
          <w:rFonts w:asciiTheme="minorHAnsi" w:eastAsia="Verdana" w:hAnsiTheme="minorHAnsi" w:cs="Verdana"/>
          <w:kern w:val="2"/>
          <w:sz w:val="24"/>
          <w:szCs w:val="24"/>
        </w:rPr>
        <w:t>. It notes that the current rate of progress is slowing and that some institutions may never close the gap on the current rate of progress. The report states that on average HE sector will take 14 years to close the gender pay gap. In one notorious case it is estimated that it will take 680 years to close the gender pay gap on the current rate of progress.</w:t>
      </w:r>
    </w:p>
    <w:p w14:paraId="4D8663C4" w14:textId="192527CF" w:rsidR="00FA01B6" w:rsidRPr="009C109B" w:rsidRDefault="00FA01B6" w:rsidP="009C109B">
      <w:pPr>
        <w:spacing w:after="160" w:line="259" w:lineRule="auto"/>
        <w:rPr>
          <w:rFonts w:asciiTheme="minorHAnsi" w:eastAsia="Verdana" w:hAnsiTheme="minorHAnsi" w:cs="Verdana"/>
          <w:kern w:val="2"/>
          <w:sz w:val="24"/>
          <w:szCs w:val="24"/>
        </w:rPr>
      </w:pPr>
      <w:r w:rsidRPr="009C109B">
        <w:rPr>
          <w:rFonts w:asciiTheme="minorHAnsi" w:eastAsia="Verdana" w:hAnsiTheme="minorHAnsi" w:cs="Verdana"/>
          <w:kern w:val="2"/>
          <w:sz w:val="24"/>
          <w:szCs w:val="24"/>
        </w:rPr>
        <w:lastRenderedPageBreak/>
        <w:t xml:space="preserve">According to the ONS, the pay gap for Black UK born employees is 5.6% across the UK. For </w:t>
      </w:r>
      <w:r w:rsidR="006177CA" w:rsidRPr="009C109B">
        <w:rPr>
          <w:rFonts w:asciiTheme="minorHAnsi" w:eastAsia="Verdana" w:hAnsiTheme="minorHAnsi" w:cs="Verdana"/>
          <w:kern w:val="2"/>
          <w:sz w:val="24"/>
          <w:szCs w:val="24"/>
        </w:rPr>
        <w:t>non-UK</w:t>
      </w:r>
      <w:r w:rsidRPr="009C109B">
        <w:rPr>
          <w:rFonts w:asciiTheme="minorHAnsi" w:eastAsia="Verdana" w:hAnsiTheme="minorHAnsi" w:cs="Verdana"/>
          <w:kern w:val="2"/>
          <w:sz w:val="24"/>
          <w:szCs w:val="24"/>
        </w:rPr>
        <w:t xml:space="preserve"> born staff this increased to 12%.</w:t>
      </w:r>
    </w:p>
    <w:p w14:paraId="37AE3D3B" w14:textId="77777777" w:rsidR="00FA01B6" w:rsidRPr="009C109B" w:rsidRDefault="00FA01B6" w:rsidP="009C109B">
      <w:pPr>
        <w:spacing w:after="160" w:line="259" w:lineRule="auto"/>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Despite 22% of staff coming from ethnic minority backgrounds, only 13% of the Professoriate come from such backgrounds, with most of this group being of Asian descent. Though we note that there was an increase of 40 black professors being appointed in the 2023/23 HESA data, much more needs to be done across the board to ensure equality of opportunity for an ethnic minority staff employed in academic roles.</w:t>
      </w:r>
    </w:p>
    <w:p w14:paraId="326FD0E8" w14:textId="4D4B2566" w:rsidR="00FA01B6" w:rsidRPr="009C109B" w:rsidRDefault="00FA01B6" w:rsidP="009C109B">
      <w:pPr>
        <w:spacing w:after="160" w:line="259" w:lineRule="auto"/>
        <w:rPr>
          <w:rFonts w:asciiTheme="minorHAnsi" w:hAnsiTheme="minorHAnsi" w:cstheme="minorBidi"/>
          <w:kern w:val="2"/>
          <w:sz w:val="24"/>
          <w:szCs w:val="24"/>
        </w:rPr>
      </w:pPr>
      <w:r w:rsidRPr="009C109B">
        <w:rPr>
          <w:rFonts w:asciiTheme="minorHAnsi" w:eastAsia="Verdana" w:hAnsiTheme="minorHAnsi" w:cs="Verdana"/>
          <w:kern w:val="2"/>
          <w:sz w:val="24"/>
          <w:szCs w:val="24"/>
        </w:rPr>
        <w:t xml:space="preserve">According to Advance HE, ethnic minority staff are under-represented in management, </w:t>
      </w:r>
      <w:r w:rsidR="000C50D6" w:rsidRPr="009C109B">
        <w:rPr>
          <w:rFonts w:asciiTheme="minorHAnsi" w:eastAsia="Verdana" w:hAnsiTheme="minorHAnsi" w:cs="Verdana"/>
          <w:kern w:val="2"/>
          <w:sz w:val="24"/>
          <w:szCs w:val="24"/>
        </w:rPr>
        <w:t>director,</w:t>
      </w:r>
      <w:r w:rsidRPr="009C109B">
        <w:rPr>
          <w:rFonts w:asciiTheme="minorHAnsi" w:eastAsia="Verdana" w:hAnsiTheme="minorHAnsi" w:cs="Verdana"/>
          <w:kern w:val="2"/>
          <w:sz w:val="24"/>
          <w:szCs w:val="24"/>
        </w:rPr>
        <w:t xml:space="preserve"> and other senior roles in both academic, academic related and support roles </w:t>
      </w:r>
    </w:p>
    <w:p w14:paraId="06AE3145" w14:textId="77777777" w:rsidR="00FA01B6" w:rsidRPr="009C109B" w:rsidRDefault="00FA01B6" w:rsidP="009C109B">
      <w:pPr>
        <w:spacing w:after="160" w:line="259" w:lineRule="auto"/>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UCEA’s own analysis shows that Black non-UK men, Black UK women and Black non-UK women suffer the most significant pay penalty in comparison to white-UK men.</w:t>
      </w:r>
    </w:p>
    <w:p w14:paraId="63A4E780" w14:textId="77777777" w:rsidR="00FA01B6" w:rsidRPr="009C109B" w:rsidRDefault="00FA01B6" w:rsidP="009C109B">
      <w:pPr>
        <w:spacing w:after="160" w:line="259" w:lineRule="auto"/>
        <w:rPr>
          <w:rFonts w:asciiTheme="minorHAnsi" w:hAnsiTheme="minorHAnsi" w:cstheme="minorBidi"/>
          <w:kern w:val="2"/>
          <w:sz w:val="24"/>
          <w:szCs w:val="24"/>
        </w:rPr>
      </w:pPr>
      <w:r w:rsidRPr="009C109B">
        <w:rPr>
          <w:rFonts w:asciiTheme="minorHAnsi" w:eastAsia="Verdana" w:hAnsiTheme="minorHAnsi" w:cs="Verdana"/>
          <w:kern w:val="2"/>
          <w:sz w:val="24"/>
          <w:szCs w:val="24"/>
        </w:rPr>
        <w:t xml:space="preserve">The time has now come for universities to agree clear action plans with their unions and for joint work to be done to address the race pay gap and the impact of intersectionality on staff. New JNCHES has an important review and enabling role in this. </w:t>
      </w:r>
    </w:p>
    <w:p w14:paraId="4852059F" w14:textId="77777777" w:rsidR="00FA01B6" w:rsidRPr="009C109B" w:rsidRDefault="00FA01B6" w:rsidP="009C109B">
      <w:pPr>
        <w:spacing w:after="160" w:line="259" w:lineRule="auto"/>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We expect the JNCHES working group looking at action on pay gaps to:</w:t>
      </w:r>
    </w:p>
    <w:p w14:paraId="0DAE82BA" w14:textId="77777777"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Consider the relevant data available and, where possible, collect data that is unavailable through </w:t>
      </w:r>
      <w:proofErr w:type="gramStart"/>
      <w:r w:rsidRPr="009C109B">
        <w:rPr>
          <w:rFonts w:asciiTheme="minorHAnsi" w:eastAsia="Verdana" w:hAnsiTheme="minorHAnsi" w:cs="Verdana"/>
          <w:kern w:val="2"/>
          <w:sz w:val="24"/>
          <w:szCs w:val="24"/>
        </w:rPr>
        <w:t>HESA;</w:t>
      </w:r>
      <w:proofErr w:type="gramEnd"/>
    </w:p>
    <w:p w14:paraId="7AD9C480" w14:textId="77777777"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Examine the relevant data through an intersectional lens for gender, ethnicity, and disability pay gaps, where </w:t>
      </w:r>
      <w:proofErr w:type="gramStart"/>
      <w:r w:rsidRPr="009C109B">
        <w:rPr>
          <w:rFonts w:asciiTheme="minorHAnsi" w:eastAsia="Verdana" w:hAnsiTheme="minorHAnsi" w:cs="Verdana"/>
          <w:kern w:val="2"/>
          <w:sz w:val="24"/>
          <w:szCs w:val="24"/>
        </w:rPr>
        <w:t>available;</w:t>
      </w:r>
      <w:proofErr w:type="gramEnd"/>
    </w:p>
    <w:p w14:paraId="0F5465C7" w14:textId="77777777"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Present an analysis of the data and the issues to be addressed at a UK-wide level, broken down for academic and professional services and clinical academic staff, and by contract type where possible (including outsourced/indirectly employed staff), to New JNCHES and to HEIs, and relevant sector-level benchmarks to allow meaningful local action plans. UCEA will also recommend to its members to benchmark their results using the UCEA pay gaps </w:t>
      </w:r>
      <w:proofErr w:type="gramStart"/>
      <w:r w:rsidRPr="009C109B">
        <w:rPr>
          <w:rFonts w:asciiTheme="minorHAnsi" w:eastAsia="Verdana" w:hAnsiTheme="minorHAnsi" w:cs="Verdana"/>
          <w:kern w:val="2"/>
          <w:sz w:val="24"/>
          <w:szCs w:val="24"/>
        </w:rPr>
        <w:t>dashboard;</w:t>
      </w:r>
      <w:proofErr w:type="gramEnd"/>
    </w:p>
    <w:p w14:paraId="33D13FC3" w14:textId="77777777"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Explore the impact on pay gaps of direct and indirect employment </w:t>
      </w:r>
      <w:proofErr w:type="gramStart"/>
      <w:r w:rsidRPr="009C109B">
        <w:rPr>
          <w:rFonts w:asciiTheme="minorHAnsi" w:eastAsia="Verdana" w:hAnsiTheme="minorHAnsi" w:cs="Verdana"/>
          <w:kern w:val="2"/>
          <w:sz w:val="24"/>
          <w:szCs w:val="24"/>
        </w:rPr>
        <w:t>strategies;</w:t>
      </w:r>
      <w:proofErr w:type="gramEnd"/>
    </w:p>
    <w:p w14:paraId="7D87E5B7" w14:textId="77777777"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Develop and agree principles and minimum standards which employers </w:t>
      </w:r>
      <w:proofErr w:type="gramStart"/>
      <w:r w:rsidRPr="009C109B">
        <w:rPr>
          <w:rFonts w:asciiTheme="minorHAnsi" w:eastAsia="Verdana" w:hAnsiTheme="minorHAnsi" w:cs="Verdana"/>
          <w:kern w:val="2"/>
          <w:sz w:val="24"/>
          <w:szCs w:val="24"/>
        </w:rPr>
        <w:t>are able to</w:t>
      </w:r>
      <w:proofErr w:type="gramEnd"/>
      <w:r w:rsidRPr="009C109B">
        <w:rPr>
          <w:rFonts w:asciiTheme="minorHAnsi" w:eastAsia="Verdana" w:hAnsiTheme="minorHAnsi" w:cs="Verdana"/>
          <w:kern w:val="2"/>
          <w:sz w:val="24"/>
          <w:szCs w:val="24"/>
        </w:rPr>
        <w:t xml:space="preserve"> apply in action plans to address pay gaps based upon good practice, from within and outside of the sector, timescales, and the role of trade unions in action planning. These action plans will be developed and implemented </w:t>
      </w:r>
      <w:proofErr w:type="gramStart"/>
      <w:r w:rsidRPr="009C109B">
        <w:rPr>
          <w:rFonts w:asciiTheme="minorHAnsi" w:eastAsia="Verdana" w:hAnsiTheme="minorHAnsi" w:cs="Verdana"/>
          <w:kern w:val="2"/>
          <w:sz w:val="24"/>
          <w:szCs w:val="24"/>
        </w:rPr>
        <w:t>locally;</w:t>
      </w:r>
      <w:proofErr w:type="gramEnd"/>
    </w:p>
    <w:p w14:paraId="6184A16D" w14:textId="77777777"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Develop and agree guidance on positive action initiatives to address equality pay gaps within the university workforce which remove well-evidenced barriers and systemic </w:t>
      </w:r>
      <w:proofErr w:type="gramStart"/>
      <w:r w:rsidRPr="009C109B">
        <w:rPr>
          <w:rFonts w:asciiTheme="minorHAnsi" w:eastAsia="Verdana" w:hAnsiTheme="minorHAnsi" w:cs="Verdana"/>
          <w:kern w:val="2"/>
          <w:sz w:val="24"/>
          <w:szCs w:val="24"/>
        </w:rPr>
        <w:t>bias;</w:t>
      </w:r>
      <w:proofErr w:type="gramEnd"/>
    </w:p>
    <w:p w14:paraId="3831CDDB" w14:textId="77777777"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Develop and agree guidance on the creation of safe environments and mechanisms through which union members/employees feel comfortable declaring protected </w:t>
      </w:r>
      <w:proofErr w:type="gramStart"/>
      <w:r w:rsidRPr="009C109B">
        <w:rPr>
          <w:rFonts w:asciiTheme="minorHAnsi" w:eastAsia="Verdana" w:hAnsiTheme="minorHAnsi" w:cs="Verdana"/>
          <w:kern w:val="2"/>
          <w:sz w:val="24"/>
          <w:szCs w:val="24"/>
        </w:rPr>
        <w:t>characteristics;</w:t>
      </w:r>
      <w:proofErr w:type="gramEnd"/>
    </w:p>
    <w:p w14:paraId="69B31CAE" w14:textId="4C42B5B4"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Encourage union members/employees to share protected characteristics data with their employers, highlighting the value of such information and its </w:t>
      </w:r>
      <w:r w:rsidRPr="009C109B">
        <w:rPr>
          <w:rFonts w:asciiTheme="minorHAnsi" w:eastAsia="Verdana" w:hAnsiTheme="minorHAnsi" w:cs="Verdana"/>
          <w:kern w:val="2"/>
          <w:sz w:val="24"/>
          <w:szCs w:val="24"/>
        </w:rPr>
        <w:lastRenderedPageBreak/>
        <w:t xml:space="preserve">importance for future analysis of gender, ethnicity, </w:t>
      </w:r>
      <w:r w:rsidR="000C50D6" w:rsidRPr="009C109B">
        <w:rPr>
          <w:rFonts w:asciiTheme="minorHAnsi" w:eastAsia="Verdana" w:hAnsiTheme="minorHAnsi" w:cs="Verdana"/>
          <w:kern w:val="2"/>
          <w:sz w:val="24"/>
          <w:szCs w:val="24"/>
        </w:rPr>
        <w:t>disability,</w:t>
      </w:r>
      <w:r w:rsidRPr="009C109B">
        <w:rPr>
          <w:rFonts w:asciiTheme="minorHAnsi" w:eastAsia="Verdana" w:hAnsiTheme="minorHAnsi" w:cs="Verdana"/>
          <w:kern w:val="2"/>
          <w:sz w:val="24"/>
          <w:szCs w:val="24"/>
        </w:rPr>
        <w:t xml:space="preserve"> and other equality pay gaps and helping to address </w:t>
      </w:r>
      <w:proofErr w:type="gramStart"/>
      <w:r w:rsidRPr="009C109B">
        <w:rPr>
          <w:rFonts w:asciiTheme="minorHAnsi" w:eastAsia="Verdana" w:hAnsiTheme="minorHAnsi" w:cs="Verdana"/>
          <w:kern w:val="2"/>
          <w:sz w:val="24"/>
          <w:szCs w:val="24"/>
        </w:rPr>
        <w:t>discrimination;</w:t>
      </w:r>
      <w:proofErr w:type="gramEnd"/>
    </w:p>
    <w:p w14:paraId="17601C0D" w14:textId="77777777"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Ensure that UCEA members undertake timetabled Equal Pay Audits and then share all audit data with their recognised trade </w:t>
      </w:r>
      <w:proofErr w:type="gramStart"/>
      <w:r w:rsidRPr="009C109B">
        <w:rPr>
          <w:rFonts w:asciiTheme="minorHAnsi" w:eastAsia="Verdana" w:hAnsiTheme="minorHAnsi" w:cs="Verdana"/>
          <w:kern w:val="2"/>
          <w:sz w:val="24"/>
          <w:szCs w:val="24"/>
        </w:rPr>
        <w:t>unions;</w:t>
      </w:r>
      <w:proofErr w:type="gramEnd"/>
    </w:p>
    <w:p w14:paraId="5D20D438" w14:textId="77777777" w:rsidR="00FA01B6" w:rsidRPr="009C109B" w:rsidRDefault="00FA01B6" w:rsidP="009C109B">
      <w:pPr>
        <w:numPr>
          <w:ilvl w:val="0"/>
          <w:numId w:val="13"/>
        </w:numPr>
        <w:spacing w:after="160" w:line="259" w:lineRule="auto"/>
        <w:contextualSpacing/>
        <w:rPr>
          <w:rFonts w:asciiTheme="minorHAnsi" w:eastAsia="Verdana" w:hAnsiTheme="minorHAnsi" w:cs="Verdana"/>
          <w:kern w:val="2"/>
          <w:sz w:val="24"/>
          <w:szCs w:val="24"/>
        </w:rPr>
      </w:pPr>
      <w:r w:rsidRPr="009C109B">
        <w:rPr>
          <w:rFonts w:asciiTheme="minorHAnsi" w:eastAsia="Verdana" w:hAnsiTheme="minorHAnsi" w:cs="Verdana"/>
          <w:kern w:val="2"/>
          <w:sz w:val="24"/>
          <w:szCs w:val="24"/>
        </w:rPr>
        <w:t xml:space="preserve">Review progress on all pay gaps at a UK level, including the proportion of HEIs making progress towards sector benchmarks, on an annual basis and report updated figures to the trade unions and UCEA members with further guidance and examples of success, prior to the annual pay negotiating round. </w:t>
      </w:r>
    </w:p>
    <w:p w14:paraId="4F7A5CB5" w14:textId="77777777" w:rsidR="00FA01B6" w:rsidRPr="009C109B" w:rsidRDefault="00FA01B6" w:rsidP="009C109B">
      <w:pPr>
        <w:spacing w:line="259" w:lineRule="auto"/>
        <w:rPr>
          <w:rFonts w:asciiTheme="minorHAnsi" w:eastAsia="Verdana" w:hAnsiTheme="minorHAnsi" w:cs="Verdana"/>
          <w:kern w:val="2"/>
          <w:sz w:val="24"/>
          <w:szCs w:val="24"/>
        </w:rPr>
      </w:pPr>
    </w:p>
    <w:p w14:paraId="244368F7" w14:textId="77777777" w:rsidR="00FA01B6" w:rsidRPr="009C109B" w:rsidRDefault="00FA01B6" w:rsidP="009C109B">
      <w:pPr>
        <w:spacing w:line="259" w:lineRule="auto"/>
        <w:rPr>
          <w:rFonts w:asciiTheme="minorHAnsi" w:hAnsiTheme="minorHAnsi" w:cstheme="minorBidi"/>
          <w:kern w:val="2"/>
          <w:sz w:val="24"/>
          <w:szCs w:val="24"/>
        </w:rPr>
      </w:pPr>
      <w:r w:rsidRPr="009C109B">
        <w:rPr>
          <w:rFonts w:asciiTheme="minorHAnsi" w:eastAsia="Verdana" w:hAnsiTheme="minorHAnsi" w:cs="Verdana"/>
          <w:kern w:val="2"/>
          <w:sz w:val="24"/>
          <w:szCs w:val="24"/>
        </w:rPr>
        <w:t>This section of the pay claim comes under section 9 of the New JNCHES Agreement, 26 March 2013. Additionally, section 6, second bullet point references the Framework Agreement which has a section on Equal Opportunities and Pay.</w:t>
      </w:r>
    </w:p>
    <w:p w14:paraId="71882172" w14:textId="77777777" w:rsidR="00916C71" w:rsidRPr="009C109B" w:rsidRDefault="00916C71" w:rsidP="003C4D1B">
      <w:pPr>
        <w:pStyle w:val="Default"/>
        <w:spacing w:after="240"/>
        <w:rPr>
          <w:rFonts w:asciiTheme="minorHAnsi" w:hAnsiTheme="minorHAnsi" w:cs="Calibri"/>
          <w:color w:val="auto"/>
        </w:rPr>
      </w:pPr>
    </w:p>
    <w:p w14:paraId="589C0288" w14:textId="77777777" w:rsidR="00237309" w:rsidRPr="003C4D1B" w:rsidRDefault="00237309" w:rsidP="003C4D1B">
      <w:pPr>
        <w:pStyle w:val="Default"/>
        <w:keepNext/>
        <w:spacing w:after="240"/>
        <w:rPr>
          <w:rFonts w:asciiTheme="minorHAnsi" w:hAnsiTheme="minorHAnsi" w:cs="Calibri"/>
          <w:b/>
          <w:bCs/>
        </w:rPr>
      </w:pPr>
      <w:r w:rsidRPr="003C4D1B">
        <w:rPr>
          <w:rFonts w:asciiTheme="minorHAnsi" w:hAnsiTheme="minorHAnsi" w:cs="Calibri"/>
          <w:b/>
          <w:bCs/>
        </w:rPr>
        <w:t>Terms of reference</w:t>
      </w:r>
    </w:p>
    <w:p w14:paraId="7922B6EE" w14:textId="7B3D0E0D" w:rsidR="00916C71" w:rsidRPr="006C29C0" w:rsidRDefault="00916C71" w:rsidP="009C109B">
      <w:pPr>
        <w:pStyle w:val="Default"/>
        <w:rPr>
          <w:rFonts w:asciiTheme="minorHAnsi" w:hAnsiTheme="minorHAnsi" w:cs="Calibri"/>
        </w:rPr>
      </w:pPr>
      <w:r w:rsidRPr="006C29C0">
        <w:rPr>
          <w:rFonts w:asciiTheme="minorHAnsi" w:hAnsiTheme="minorHAnsi" w:cs="Calibri"/>
        </w:rPr>
        <w:t xml:space="preserve">UCEA and the joint unions made progress in </w:t>
      </w:r>
      <w:r w:rsidR="009F4506">
        <w:rPr>
          <w:rFonts w:asciiTheme="minorHAnsi" w:hAnsiTheme="minorHAnsi" w:cs="Calibri"/>
        </w:rPr>
        <w:t xml:space="preserve">the </w:t>
      </w:r>
      <w:r w:rsidRPr="006C29C0">
        <w:rPr>
          <w:rFonts w:asciiTheme="minorHAnsi" w:hAnsiTheme="minorHAnsi" w:cs="Calibri"/>
        </w:rPr>
        <w:t>202</w:t>
      </w:r>
      <w:r w:rsidR="009F4506">
        <w:rPr>
          <w:rFonts w:asciiTheme="minorHAnsi" w:hAnsiTheme="minorHAnsi" w:cs="Calibri"/>
        </w:rPr>
        <w:t>4/5 pay negotiation</w:t>
      </w:r>
      <w:r w:rsidR="00E53B27">
        <w:rPr>
          <w:rFonts w:asciiTheme="minorHAnsi" w:hAnsiTheme="minorHAnsi" w:cs="Calibri"/>
        </w:rPr>
        <w:t xml:space="preserve"> on agreeing</w:t>
      </w:r>
      <w:r w:rsidRPr="006C29C0">
        <w:rPr>
          <w:rFonts w:asciiTheme="minorHAnsi" w:hAnsiTheme="minorHAnsi" w:cs="Calibri"/>
        </w:rPr>
        <w:t xml:space="preserve"> terms of reference for working groups to develop joint agreements on: workload, contract types</w:t>
      </w:r>
      <w:r w:rsidR="00ED2304">
        <w:rPr>
          <w:rFonts w:asciiTheme="minorHAnsi" w:hAnsiTheme="minorHAnsi" w:cs="Calibri"/>
        </w:rPr>
        <w:t>/casualisation</w:t>
      </w:r>
      <w:r w:rsidRPr="006C29C0">
        <w:rPr>
          <w:rFonts w:asciiTheme="minorHAnsi" w:hAnsiTheme="minorHAnsi" w:cs="Calibri"/>
        </w:rPr>
        <w:t>, pay spine reform, and action to tackle equality pay gaps.</w:t>
      </w:r>
    </w:p>
    <w:p w14:paraId="6BC5003F" w14:textId="77777777" w:rsidR="00916C71" w:rsidRPr="006C29C0" w:rsidRDefault="00916C71" w:rsidP="009C109B">
      <w:pPr>
        <w:pStyle w:val="Default"/>
        <w:rPr>
          <w:rFonts w:asciiTheme="minorHAnsi" w:hAnsiTheme="minorHAnsi" w:cs="Calibri"/>
        </w:rPr>
      </w:pPr>
    </w:p>
    <w:p w14:paraId="66B95A18" w14:textId="20E42663" w:rsidR="00B867FF" w:rsidRPr="006C29C0" w:rsidRDefault="00A10EE3" w:rsidP="009C109B">
      <w:pPr>
        <w:pStyle w:val="Default"/>
        <w:rPr>
          <w:rFonts w:asciiTheme="minorHAnsi" w:hAnsiTheme="minorHAnsi" w:cs="Calibri"/>
        </w:rPr>
      </w:pPr>
      <w:r>
        <w:rPr>
          <w:rFonts w:asciiTheme="minorHAnsi" w:hAnsiTheme="minorHAnsi" w:cs="Calibri"/>
        </w:rPr>
        <w:t>The offer to take this work forward was subse</w:t>
      </w:r>
      <w:r w:rsidR="00D32C6C">
        <w:rPr>
          <w:rFonts w:asciiTheme="minorHAnsi" w:hAnsiTheme="minorHAnsi" w:cs="Calibri"/>
        </w:rPr>
        <w:t>quently withdrawn by UCEA</w:t>
      </w:r>
      <w:r w:rsidR="00376BAA">
        <w:rPr>
          <w:rFonts w:asciiTheme="minorHAnsi" w:hAnsiTheme="minorHAnsi" w:cs="Calibri"/>
        </w:rPr>
        <w:t xml:space="preserve">. We believe that these issues still need addressing and that the proposed working groups should be reconvened at the earliest </w:t>
      </w:r>
      <w:r w:rsidR="00502710">
        <w:rPr>
          <w:rFonts w:asciiTheme="minorHAnsi" w:hAnsiTheme="minorHAnsi" w:cs="Calibri"/>
        </w:rPr>
        <w:t>opportunity.</w:t>
      </w:r>
    </w:p>
    <w:p w14:paraId="57522937" w14:textId="77777777" w:rsidR="00B226F4" w:rsidRPr="006C29C0" w:rsidRDefault="00B226F4" w:rsidP="009C109B">
      <w:pPr>
        <w:pStyle w:val="Default"/>
        <w:rPr>
          <w:rFonts w:asciiTheme="minorHAnsi" w:hAnsiTheme="minorHAnsi" w:cs="Calibri"/>
        </w:rPr>
      </w:pPr>
    </w:p>
    <w:p w14:paraId="6148CE05" w14:textId="77777777" w:rsidR="00227309" w:rsidRPr="006C29C0" w:rsidRDefault="00227309" w:rsidP="009C109B">
      <w:pPr>
        <w:pStyle w:val="Default"/>
        <w:rPr>
          <w:rFonts w:asciiTheme="minorHAnsi" w:hAnsiTheme="minorHAnsi" w:cs="Calibri"/>
        </w:rPr>
      </w:pPr>
    </w:p>
    <w:p w14:paraId="1CE21B62" w14:textId="48587657" w:rsidR="004E0DBB" w:rsidRPr="006C29C0" w:rsidRDefault="004E0DBB" w:rsidP="009C109B">
      <w:pPr>
        <w:pStyle w:val="Default"/>
        <w:rPr>
          <w:rFonts w:asciiTheme="minorHAnsi" w:hAnsiTheme="minorHAnsi" w:cs="Calibri"/>
        </w:rPr>
      </w:pPr>
      <w:r w:rsidRPr="006C29C0">
        <w:rPr>
          <w:rFonts w:asciiTheme="minorHAnsi" w:hAnsiTheme="minorHAnsi" w:cs="Calibri"/>
        </w:rPr>
        <w:br w:type="page"/>
      </w:r>
    </w:p>
    <w:p w14:paraId="48A435DD" w14:textId="77777777" w:rsidR="009064A1" w:rsidRPr="00C768EC" w:rsidRDefault="001234EC" w:rsidP="009C109B">
      <w:pPr>
        <w:pStyle w:val="Default"/>
        <w:rPr>
          <w:rFonts w:asciiTheme="minorHAnsi" w:hAnsiTheme="minorHAnsi" w:cs="Calibri"/>
          <w:b/>
          <w:bCs/>
          <w:color w:val="auto"/>
          <w:u w:val="single"/>
        </w:rPr>
      </w:pPr>
      <w:r w:rsidRPr="00C768EC">
        <w:rPr>
          <w:rFonts w:asciiTheme="minorHAnsi" w:hAnsiTheme="minorHAnsi" w:cs="Calibri"/>
          <w:b/>
          <w:bCs/>
          <w:color w:val="auto"/>
          <w:u w:val="single"/>
        </w:rPr>
        <w:lastRenderedPageBreak/>
        <w:t>Pensions</w:t>
      </w:r>
    </w:p>
    <w:p w14:paraId="356F605C" w14:textId="77777777" w:rsidR="009069D7" w:rsidRPr="009C109B" w:rsidRDefault="009069D7" w:rsidP="009C109B">
      <w:pPr>
        <w:pStyle w:val="Default"/>
        <w:rPr>
          <w:rFonts w:asciiTheme="minorHAnsi" w:hAnsiTheme="minorHAnsi" w:cs="Calibri"/>
          <w:b/>
          <w:bCs/>
          <w:color w:val="auto"/>
        </w:rPr>
      </w:pPr>
    </w:p>
    <w:p w14:paraId="5242A10D" w14:textId="3AED4FF2" w:rsidR="009064A1" w:rsidRPr="00C768EC" w:rsidRDefault="009064A1" w:rsidP="00C768EC">
      <w:pPr>
        <w:pStyle w:val="Default"/>
        <w:spacing w:after="240"/>
        <w:rPr>
          <w:rFonts w:asciiTheme="minorHAnsi" w:hAnsiTheme="minorHAnsi" w:cs="Calibri"/>
          <w:b/>
          <w:bCs/>
          <w:color w:val="auto"/>
        </w:rPr>
      </w:pPr>
      <w:r w:rsidRPr="00C768EC">
        <w:rPr>
          <w:rFonts w:asciiTheme="minorHAnsi" w:hAnsiTheme="minorHAnsi" w:cs="Calibri"/>
          <w:b/>
          <w:bCs/>
          <w:color w:val="auto"/>
        </w:rPr>
        <w:t>Inequalities in Higher Education Pensions</w:t>
      </w:r>
    </w:p>
    <w:p w14:paraId="61294417" w14:textId="77777777" w:rsidR="009064A1" w:rsidRPr="009C109B" w:rsidRDefault="009064A1" w:rsidP="009C109B">
      <w:pPr>
        <w:pStyle w:val="Default"/>
        <w:rPr>
          <w:rFonts w:asciiTheme="minorHAnsi" w:hAnsiTheme="minorHAnsi" w:cs="Calibri"/>
          <w:color w:val="auto"/>
        </w:rPr>
      </w:pPr>
      <w:r w:rsidRPr="009C109B">
        <w:rPr>
          <w:rFonts w:asciiTheme="minorHAnsi" w:hAnsiTheme="minorHAnsi" w:cs="Calibri"/>
          <w:color w:val="auto"/>
        </w:rPr>
        <w:t>Research across pensions provision in the UK shows that gender differences in pension entitlement are significantly larger than gender pay differentials.</w:t>
      </w:r>
    </w:p>
    <w:p w14:paraId="0726146E" w14:textId="77777777" w:rsidR="009064A1" w:rsidRPr="009C109B" w:rsidRDefault="009064A1" w:rsidP="009C109B">
      <w:pPr>
        <w:pStyle w:val="Default"/>
        <w:rPr>
          <w:rFonts w:asciiTheme="minorHAnsi" w:hAnsiTheme="minorHAnsi" w:cs="Calibri"/>
          <w:color w:val="auto"/>
        </w:rPr>
      </w:pPr>
    </w:p>
    <w:p w14:paraId="38D119C1" w14:textId="2365BC72" w:rsidR="007D022D" w:rsidRPr="009C109B" w:rsidRDefault="009064A1" w:rsidP="009C109B">
      <w:pPr>
        <w:pStyle w:val="Default"/>
        <w:rPr>
          <w:rFonts w:asciiTheme="minorHAnsi" w:hAnsiTheme="minorHAnsi" w:cs="Calibri"/>
          <w:color w:val="auto"/>
        </w:rPr>
      </w:pPr>
      <w:r w:rsidRPr="009C109B">
        <w:rPr>
          <w:rFonts w:asciiTheme="minorHAnsi" w:hAnsiTheme="minorHAnsi" w:cs="Calibri"/>
          <w:color w:val="auto"/>
        </w:rPr>
        <w:t>(</w:t>
      </w:r>
      <w:hyperlink r:id="rId14" w:history="1">
        <w:r w:rsidR="007D022D" w:rsidRPr="009C109B">
          <w:rPr>
            <w:rStyle w:val="Hyperlink"/>
            <w:rFonts w:asciiTheme="minorHAnsi" w:hAnsiTheme="minorHAnsi" w:cs="Calibri"/>
            <w:color w:val="auto"/>
          </w:rPr>
          <w:t>https://commonslibrary.parliament.uk/research-briefings/cbp-9517/</w:t>
        </w:r>
      </w:hyperlink>
      <w:r w:rsidRPr="009C109B">
        <w:rPr>
          <w:rFonts w:asciiTheme="minorHAnsi" w:hAnsiTheme="minorHAnsi" w:cs="Calibri"/>
          <w:color w:val="auto"/>
        </w:rPr>
        <w:t>)</w:t>
      </w:r>
    </w:p>
    <w:p w14:paraId="5AEA6CEB" w14:textId="5929EF60" w:rsidR="009064A1" w:rsidRPr="009C109B" w:rsidRDefault="009064A1" w:rsidP="009C109B">
      <w:pPr>
        <w:pStyle w:val="Default"/>
        <w:rPr>
          <w:rFonts w:asciiTheme="minorHAnsi" w:hAnsiTheme="minorHAnsi" w:cs="Calibri"/>
          <w:color w:val="auto"/>
        </w:rPr>
      </w:pPr>
      <w:r w:rsidRPr="009C109B">
        <w:rPr>
          <w:rFonts w:asciiTheme="minorHAnsi" w:hAnsiTheme="minorHAnsi" w:cs="Calibri"/>
          <w:color w:val="auto"/>
        </w:rPr>
        <w:t xml:space="preserve"> </w:t>
      </w:r>
    </w:p>
    <w:p w14:paraId="25C4E353" w14:textId="77777777" w:rsidR="009064A1" w:rsidRPr="009C109B" w:rsidRDefault="009064A1" w:rsidP="009C109B">
      <w:pPr>
        <w:pStyle w:val="Default"/>
        <w:rPr>
          <w:rFonts w:asciiTheme="minorHAnsi" w:hAnsiTheme="minorHAnsi" w:cs="Calibri"/>
          <w:color w:val="auto"/>
        </w:rPr>
      </w:pPr>
      <w:r w:rsidRPr="009C109B">
        <w:rPr>
          <w:rFonts w:asciiTheme="minorHAnsi" w:hAnsiTheme="minorHAnsi" w:cs="Calibri"/>
          <w:color w:val="auto"/>
        </w:rPr>
        <w:t xml:space="preserve">The average pension pot on retirement for women in DC schemes in 2021 was £69,000, whereas for men it was £205,800. </w:t>
      </w:r>
    </w:p>
    <w:p w14:paraId="0D51BB4D" w14:textId="77777777" w:rsidR="009064A1" w:rsidRPr="009C109B" w:rsidRDefault="009064A1" w:rsidP="009C109B">
      <w:pPr>
        <w:pStyle w:val="Default"/>
        <w:rPr>
          <w:rFonts w:asciiTheme="minorHAnsi" w:hAnsiTheme="minorHAnsi" w:cs="Calibri"/>
          <w:color w:val="auto"/>
        </w:rPr>
      </w:pPr>
    </w:p>
    <w:p w14:paraId="138B2BC7" w14:textId="77777777" w:rsidR="009064A1" w:rsidRPr="009C109B" w:rsidRDefault="009064A1" w:rsidP="009C109B">
      <w:pPr>
        <w:pStyle w:val="Default"/>
        <w:rPr>
          <w:rFonts w:asciiTheme="minorHAnsi" w:hAnsiTheme="minorHAnsi" w:cs="Calibri"/>
          <w:color w:val="auto"/>
        </w:rPr>
      </w:pPr>
      <w:r w:rsidRPr="009C109B">
        <w:rPr>
          <w:rFonts w:asciiTheme="minorHAnsi" w:hAnsiTheme="minorHAnsi" w:cs="Calibri"/>
          <w:color w:val="auto"/>
        </w:rPr>
        <w:t>Although pension differentials are typically smaller with defined benefit schemes, the pensions of women are still, on average far smaller than those of men. The Government Actuaries Department examined the Local Government Pension Scheme in 2023 and reported that the average pensions entitlement of an active woman member was 35% lower than that of her male equivalent, with larger differentials for deferred and retired members.</w:t>
      </w:r>
    </w:p>
    <w:p w14:paraId="5D1B2A9D" w14:textId="77777777" w:rsidR="009064A1" w:rsidRPr="009C109B" w:rsidRDefault="009064A1" w:rsidP="009C109B">
      <w:pPr>
        <w:pStyle w:val="Default"/>
        <w:rPr>
          <w:rFonts w:asciiTheme="minorHAnsi" w:hAnsiTheme="minorHAnsi" w:cs="Calibri"/>
          <w:color w:val="auto"/>
        </w:rPr>
      </w:pPr>
    </w:p>
    <w:p w14:paraId="763EA126" w14:textId="11A11915" w:rsidR="009064A1" w:rsidRPr="009C109B" w:rsidRDefault="007D022D" w:rsidP="009C109B">
      <w:pPr>
        <w:pStyle w:val="Default"/>
        <w:rPr>
          <w:rFonts w:asciiTheme="minorHAnsi" w:hAnsiTheme="minorHAnsi" w:cs="Calibri"/>
          <w:color w:val="auto"/>
        </w:rPr>
      </w:pPr>
      <w:hyperlink r:id="rId15" w:history="1">
        <w:r w:rsidRPr="009C109B">
          <w:rPr>
            <w:rStyle w:val="Hyperlink"/>
            <w:rFonts w:asciiTheme="minorHAnsi" w:hAnsiTheme="minorHAnsi" w:cs="Calibri"/>
            <w:color w:val="auto"/>
          </w:rPr>
          <w:t>https://www.gov.uk/government/news/gender-pensions-gap-report</w:t>
        </w:r>
      </w:hyperlink>
      <w:r w:rsidR="009064A1" w:rsidRPr="009C109B">
        <w:rPr>
          <w:rFonts w:asciiTheme="minorHAnsi" w:hAnsiTheme="minorHAnsi" w:cs="Calibri"/>
          <w:color w:val="auto"/>
        </w:rPr>
        <w:t xml:space="preserve">. </w:t>
      </w:r>
    </w:p>
    <w:p w14:paraId="3026C1F5" w14:textId="77777777" w:rsidR="007D022D" w:rsidRPr="009C109B" w:rsidRDefault="007D022D" w:rsidP="009C109B">
      <w:pPr>
        <w:pStyle w:val="Default"/>
        <w:rPr>
          <w:rFonts w:asciiTheme="minorHAnsi" w:hAnsiTheme="minorHAnsi" w:cs="Calibri"/>
          <w:color w:val="auto"/>
        </w:rPr>
      </w:pPr>
    </w:p>
    <w:p w14:paraId="680E4B56" w14:textId="77777777" w:rsidR="009064A1" w:rsidRPr="009C109B" w:rsidRDefault="009064A1" w:rsidP="009C109B">
      <w:pPr>
        <w:pStyle w:val="Default"/>
        <w:rPr>
          <w:rFonts w:asciiTheme="minorHAnsi" w:hAnsiTheme="minorHAnsi" w:cs="Calibri"/>
          <w:color w:val="auto"/>
        </w:rPr>
      </w:pPr>
      <w:r w:rsidRPr="009C109B">
        <w:rPr>
          <w:rFonts w:asciiTheme="minorHAnsi" w:hAnsiTheme="minorHAnsi" w:cs="Calibri"/>
          <w:color w:val="auto"/>
        </w:rPr>
        <w:t>Many higher education institutions have reformed their pensions schemes for their lower paid workers, putting these staff in inferior DC schemes, while maintaining DB schemes for higher paid staff. This typically disproportionately affects women and other historically disadvantaged groups of staff. It can also affect the portability of pensions for staff as they progress through grades and do not have the benefit of early service membership of a DB scheme.</w:t>
      </w:r>
    </w:p>
    <w:p w14:paraId="076D1530" w14:textId="77777777" w:rsidR="009064A1" w:rsidRPr="009C109B" w:rsidRDefault="009064A1" w:rsidP="009C109B">
      <w:pPr>
        <w:pStyle w:val="Default"/>
        <w:rPr>
          <w:rFonts w:asciiTheme="minorHAnsi" w:hAnsiTheme="minorHAnsi" w:cs="Calibri"/>
          <w:color w:val="auto"/>
        </w:rPr>
      </w:pPr>
    </w:p>
    <w:p w14:paraId="7ED277F9" w14:textId="77777777" w:rsidR="009064A1" w:rsidRPr="009C109B" w:rsidRDefault="009064A1" w:rsidP="009C109B">
      <w:pPr>
        <w:pStyle w:val="Default"/>
        <w:rPr>
          <w:rFonts w:asciiTheme="minorHAnsi" w:hAnsiTheme="minorHAnsi" w:cs="Calibri"/>
          <w:color w:val="auto"/>
        </w:rPr>
      </w:pPr>
      <w:r w:rsidRPr="009C109B">
        <w:rPr>
          <w:rFonts w:asciiTheme="minorHAnsi" w:hAnsiTheme="minorHAnsi" w:cs="Calibri"/>
          <w:color w:val="auto"/>
        </w:rPr>
        <w:t>There are practical measures that can be taken to reduce these differentials. For example, continued employer contributions during periods of extended maternity leave, and minimum levels of employer contribution mitigating the impact of lower levels of accrual, due to scheme design, for part-time workers (most of whom are female).</w:t>
      </w:r>
    </w:p>
    <w:p w14:paraId="6B518BBB" w14:textId="77777777" w:rsidR="009064A1" w:rsidRPr="009C109B" w:rsidRDefault="009064A1" w:rsidP="009C109B">
      <w:pPr>
        <w:pStyle w:val="Default"/>
        <w:rPr>
          <w:rFonts w:asciiTheme="minorHAnsi" w:hAnsiTheme="minorHAnsi" w:cs="Calibri"/>
          <w:color w:val="auto"/>
        </w:rPr>
      </w:pPr>
    </w:p>
    <w:p w14:paraId="326A83F0" w14:textId="6C0724E5" w:rsidR="009064A1" w:rsidRPr="009C109B" w:rsidRDefault="009064A1" w:rsidP="009C109B">
      <w:pPr>
        <w:pStyle w:val="Default"/>
        <w:rPr>
          <w:rFonts w:asciiTheme="minorHAnsi" w:hAnsiTheme="minorHAnsi" w:cs="Calibri"/>
          <w:color w:val="auto"/>
        </w:rPr>
      </w:pPr>
      <w:r w:rsidRPr="009C109B">
        <w:rPr>
          <w:rFonts w:asciiTheme="minorHAnsi" w:hAnsiTheme="minorHAnsi" w:cs="Calibri"/>
          <w:color w:val="auto"/>
        </w:rPr>
        <w:t>Although there is less data in this area, there is evidence that there are similar pensions gaps in the HE workforce between white British people and those of ethnic minority, and those with and those without disabilities. Across the whole workforce, the People’s Partnership (https://peoplespartnership.co.uk/wp-content/uploads/Measuring-the-ethnicity-pensions-gap.pdf) found that people of ethnic minority had significantly lower pensions.</w:t>
      </w:r>
    </w:p>
    <w:p w14:paraId="3B546388" w14:textId="77777777" w:rsidR="009064A1" w:rsidRPr="009C109B" w:rsidRDefault="009064A1" w:rsidP="009C109B">
      <w:pPr>
        <w:pStyle w:val="Default"/>
        <w:rPr>
          <w:rFonts w:asciiTheme="minorHAnsi" w:hAnsiTheme="minorHAnsi" w:cs="Calibri"/>
          <w:color w:val="auto"/>
        </w:rPr>
      </w:pPr>
    </w:p>
    <w:p w14:paraId="04C0B1A3" w14:textId="2F7B2DFA" w:rsidR="001234EC" w:rsidRPr="009C109B" w:rsidRDefault="009064A1" w:rsidP="009C109B">
      <w:pPr>
        <w:pStyle w:val="Default"/>
        <w:rPr>
          <w:rFonts w:asciiTheme="minorHAnsi" w:hAnsiTheme="minorHAnsi" w:cs="Calibri"/>
          <w:color w:val="auto"/>
        </w:rPr>
      </w:pPr>
      <w:r w:rsidRPr="009C109B">
        <w:rPr>
          <w:rFonts w:asciiTheme="minorHAnsi" w:hAnsiTheme="minorHAnsi" w:cs="Calibri"/>
          <w:color w:val="auto"/>
        </w:rPr>
        <w:t>We call upon the JNCHES Pensions Forum to form a working party to gather data on the extent of pensions gaps in the schemes for HE workers, with the aim of producing concrete proposals which would act to reduce gender and other inequality pension gaps in the sector.</w:t>
      </w:r>
      <w:r w:rsidR="001234EC" w:rsidRPr="009C109B">
        <w:rPr>
          <w:rFonts w:asciiTheme="minorHAnsi" w:hAnsiTheme="minorHAnsi" w:cs="Calibri"/>
          <w:color w:val="auto"/>
        </w:rPr>
        <w:br w:type="page"/>
      </w:r>
    </w:p>
    <w:p w14:paraId="6B6114D9" w14:textId="77777777" w:rsidR="00237309" w:rsidRPr="008E4004" w:rsidRDefault="001234EC" w:rsidP="009C109B">
      <w:pPr>
        <w:pStyle w:val="Default"/>
        <w:rPr>
          <w:rFonts w:asciiTheme="minorHAnsi" w:hAnsiTheme="minorHAnsi" w:cs="Calibri"/>
          <w:b/>
          <w:bCs/>
          <w:color w:val="auto"/>
          <w:u w:val="single"/>
        </w:rPr>
      </w:pPr>
      <w:r w:rsidRPr="008E4004">
        <w:rPr>
          <w:rFonts w:asciiTheme="minorHAnsi" w:hAnsiTheme="minorHAnsi" w:cs="Calibri"/>
          <w:b/>
          <w:bCs/>
          <w:color w:val="auto"/>
          <w:u w:val="single"/>
        </w:rPr>
        <w:lastRenderedPageBreak/>
        <w:t>35 Hour Week</w:t>
      </w:r>
    </w:p>
    <w:p w14:paraId="372E68AB" w14:textId="77777777" w:rsidR="009069D7" w:rsidRPr="009C109B" w:rsidRDefault="009069D7" w:rsidP="009C109B">
      <w:pPr>
        <w:pStyle w:val="Default"/>
        <w:rPr>
          <w:rFonts w:asciiTheme="minorHAnsi" w:hAnsiTheme="minorHAnsi" w:cs="Calibri"/>
          <w:b/>
          <w:bCs/>
          <w:color w:val="auto"/>
        </w:rPr>
      </w:pPr>
    </w:p>
    <w:p w14:paraId="794DDDF8" w14:textId="35F44B3D" w:rsidR="00237309" w:rsidRPr="009C109B" w:rsidRDefault="00237309" w:rsidP="009C109B">
      <w:pPr>
        <w:pStyle w:val="Default"/>
        <w:rPr>
          <w:rFonts w:asciiTheme="minorHAnsi" w:hAnsiTheme="minorHAnsi" w:cs="Calibri"/>
          <w:color w:val="auto"/>
        </w:rPr>
      </w:pPr>
      <w:r w:rsidRPr="009C109B">
        <w:rPr>
          <w:rFonts w:asciiTheme="minorHAnsi" w:hAnsiTheme="minorHAnsi" w:cs="Calibri"/>
          <w:color w:val="auto"/>
        </w:rPr>
        <w:t>As in previous claims, the joint unions believe that the sector needs to address the differential pay rates between universities.</w:t>
      </w:r>
    </w:p>
    <w:p w14:paraId="3B497937" w14:textId="77777777" w:rsidR="00237309" w:rsidRPr="009C109B" w:rsidRDefault="00237309" w:rsidP="009C109B">
      <w:pPr>
        <w:pStyle w:val="Default"/>
        <w:rPr>
          <w:rFonts w:asciiTheme="minorHAnsi" w:hAnsiTheme="minorHAnsi" w:cs="Calibri"/>
          <w:color w:val="auto"/>
        </w:rPr>
      </w:pPr>
    </w:p>
    <w:p w14:paraId="0CBC1238" w14:textId="3CD3F7B8" w:rsidR="00237309" w:rsidRPr="009C109B" w:rsidRDefault="00237309" w:rsidP="009C109B">
      <w:pPr>
        <w:pStyle w:val="Default"/>
        <w:rPr>
          <w:rFonts w:asciiTheme="minorHAnsi" w:hAnsiTheme="minorHAnsi" w:cs="Calibri"/>
          <w:color w:val="auto"/>
        </w:rPr>
      </w:pPr>
      <w:r w:rsidRPr="009C109B">
        <w:rPr>
          <w:rFonts w:asciiTheme="minorHAnsi" w:hAnsiTheme="minorHAnsi" w:cs="Calibri"/>
          <w:color w:val="auto"/>
        </w:rPr>
        <w:t xml:space="preserve">Each year the higher education pay offer is made with reference to </w:t>
      </w:r>
      <w:proofErr w:type="gramStart"/>
      <w:r w:rsidRPr="009C109B">
        <w:rPr>
          <w:rFonts w:asciiTheme="minorHAnsi" w:hAnsiTheme="minorHAnsi" w:cs="Calibri"/>
          <w:color w:val="auto"/>
        </w:rPr>
        <w:t>HE</w:t>
      </w:r>
      <w:proofErr w:type="gramEnd"/>
      <w:r w:rsidRPr="009C109B">
        <w:rPr>
          <w:rFonts w:asciiTheme="minorHAnsi" w:hAnsiTheme="minorHAnsi" w:cs="Calibri"/>
          <w:color w:val="auto"/>
        </w:rPr>
        <w:t xml:space="preserve"> staff being employed on a 35 hour per week contract. In years prior to 2019/20, the Foundation Living Wage has been achieved as a minimum level of pay but only for those employed on a 35-hour contract. UNISON’s 2020 FOI showed that, in fact, </w:t>
      </w:r>
      <w:proofErr w:type="gramStart"/>
      <w:r w:rsidRPr="009C109B">
        <w:rPr>
          <w:rFonts w:asciiTheme="minorHAnsi" w:hAnsiTheme="minorHAnsi" w:cs="Calibri"/>
          <w:color w:val="auto"/>
        </w:rPr>
        <w:t>the majority of</w:t>
      </w:r>
      <w:proofErr w:type="gramEnd"/>
      <w:r w:rsidRPr="009C109B">
        <w:rPr>
          <w:rFonts w:asciiTheme="minorHAnsi" w:hAnsiTheme="minorHAnsi" w:cs="Calibri"/>
          <w:color w:val="auto"/>
        </w:rPr>
        <w:t xml:space="preserve"> universities in the UK issue standard contracts which are higher than 35 hours, meaning that the FLW isn’t achieved even for staff directly employed by universities if they are paid on the lowest few spinal column points.</w:t>
      </w:r>
    </w:p>
    <w:p w14:paraId="26139CA7" w14:textId="77777777" w:rsidR="00237309" w:rsidRPr="009C109B" w:rsidRDefault="00237309" w:rsidP="009C109B">
      <w:pPr>
        <w:pStyle w:val="Default"/>
        <w:rPr>
          <w:rFonts w:asciiTheme="minorHAnsi" w:hAnsiTheme="minorHAnsi" w:cs="Calibri"/>
          <w:color w:val="auto"/>
        </w:rPr>
      </w:pPr>
    </w:p>
    <w:p w14:paraId="596D6FE2" w14:textId="77777777" w:rsidR="00237309" w:rsidRPr="009C109B" w:rsidRDefault="00237309" w:rsidP="009C109B">
      <w:pPr>
        <w:pStyle w:val="Default"/>
        <w:rPr>
          <w:rFonts w:asciiTheme="minorHAnsi" w:hAnsiTheme="minorHAnsi" w:cs="Calibri"/>
          <w:color w:val="auto"/>
        </w:rPr>
      </w:pPr>
      <w:r w:rsidRPr="009C109B">
        <w:rPr>
          <w:rFonts w:asciiTheme="minorHAnsi" w:hAnsiTheme="minorHAnsi" w:cs="Calibri"/>
          <w:color w:val="auto"/>
        </w:rPr>
        <w:t>Our latest data shows that:</w:t>
      </w:r>
    </w:p>
    <w:p w14:paraId="5E1A61F6" w14:textId="77777777" w:rsidR="00B763EA" w:rsidRPr="009C109B" w:rsidRDefault="00B763EA" w:rsidP="009C109B">
      <w:pPr>
        <w:pStyle w:val="Default"/>
        <w:rPr>
          <w:rFonts w:asciiTheme="minorHAnsi" w:hAnsiTheme="minorHAnsi" w:cs="Calibri"/>
          <w:color w:val="auto"/>
        </w:rPr>
      </w:pPr>
    </w:p>
    <w:p w14:paraId="566A1A4D" w14:textId="77777777" w:rsidR="00237309" w:rsidRPr="009C109B" w:rsidRDefault="00237309" w:rsidP="009C109B">
      <w:pPr>
        <w:pStyle w:val="Default"/>
        <w:rPr>
          <w:rFonts w:asciiTheme="minorHAnsi" w:hAnsiTheme="minorHAnsi" w:cs="Calibri"/>
          <w:color w:val="auto"/>
        </w:rPr>
      </w:pPr>
      <w:r w:rsidRPr="009C109B">
        <w:rPr>
          <w:rFonts w:asciiTheme="minorHAnsi" w:hAnsiTheme="minorHAnsi" w:cs="Calibri"/>
          <w:color w:val="auto"/>
        </w:rPr>
        <w:t>•</w:t>
      </w:r>
      <w:r w:rsidRPr="009C109B">
        <w:rPr>
          <w:rFonts w:asciiTheme="minorHAnsi" w:hAnsiTheme="minorHAnsi" w:cs="Calibri"/>
          <w:color w:val="auto"/>
        </w:rPr>
        <w:tab/>
        <w:t>55 universities employ staff on 35 hours per week as standard,</w:t>
      </w:r>
    </w:p>
    <w:p w14:paraId="3F7FD6B6" w14:textId="77777777" w:rsidR="00237309" w:rsidRPr="009C109B" w:rsidRDefault="00237309" w:rsidP="009C109B">
      <w:pPr>
        <w:pStyle w:val="Default"/>
        <w:ind w:left="720" w:hanging="720"/>
        <w:rPr>
          <w:rFonts w:asciiTheme="minorHAnsi" w:hAnsiTheme="minorHAnsi" w:cs="Calibri"/>
          <w:color w:val="auto"/>
        </w:rPr>
      </w:pPr>
      <w:r w:rsidRPr="009C109B">
        <w:rPr>
          <w:rFonts w:asciiTheme="minorHAnsi" w:hAnsiTheme="minorHAnsi" w:cs="Calibri"/>
          <w:color w:val="auto"/>
        </w:rPr>
        <w:t>•</w:t>
      </w:r>
      <w:r w:rsidRPr="009C109B">
        <w:rPr>
          <w:rFonts w:asciiTheme="minorHAnsi" w:hAnsiTheme="minorHAnsi" w:cs="Calibri"/>
          <w:color w:val="auto"/>
        </w:rPr>
        <w:tab/>
        <w:t>28 universities employ staff on more than 35 hours and less than 37 hours per week as standard,</w:t>
      </w:r>
    </w:p>
    <w:p w14:paraId="265CDCAF" w14:textId="77777777" w:rsidR="00237309" w:rsidRPr="009C109B" w:rsidRDefault="00237309" w:rsidP="009C109B">
      <w:pPr>
        <w:pStyle w:val="Default"/>
        <w:rPr>
          <w:rFonts w:asciiTheme="minorHAnsi" w:hAnsiTheme="minorHAnsi" w:cs="Calibri"/>
          <w:color w:val="auto"/>
        </w:rPr>
      </w:pPr>
      <w:r w:rsidRPr="009C109B">
        <w:rPr>
          <w:rFonts w:asciiTheme="minorHAnsi" w:hAnsiTheme="minorHAnsi" w:cs="Calibri"/>
          <w:color w:val="auto"/>
        </w:rPr>
        <w:t>•</w:t>
      </w:r>
      <w:r w:rsidRPr="009C109B">
        <w:rPr>
          <w:rFonts w:asciiTheme="minorHAnsi" w:hAnsiTheme="minorHAnsi" w:cs="Calibri"/>
          <w:color w:val="auto"/>
        </w:rPr>
        <w:tab/>
        <w:t>49 universities employ staff on 37 hours per week or more as standard,</w:t>
      </w:r>
    </w:p>
    <w:p w14:paraId="538AF3E0" w14:textId="77777777" w:rsidR="00237309" w:rsidRPr="009C109B" w:rsidRDefault="00237309" w:rsidP="009C109B">
      <w:pPr>
        <w:pStyle w:val="Default"/>
        <w:ind w:left="720" w:hanging="720"/>
        <w:rPr>
          <w:rFonts w:asciiTheme="minorHAnsi" w:hAnsiTheme="minorHAnsi" w:cs="Calibri"/>
          <w:color w:val="auto"/>
        </w:rPr>
      </w:pPr>
      <w:r w:rsidRPr="009C109B">
        <w:rPr>
          <w:rFonts w:asciiTheme="minorHAnsi" w:hAnsiTheme="minorHAnsi" w:cs="Calibri"/>
          <w:color w:val="auto"/>
        </w:rPr>
        <w:t>•</w:t>
      </w:r>
      <w:r w:rsidRPr="009C109B">
        <w:rPr>
          <w:rFonts w:asciiTheme="minorHAnsi" w:hAnsiTheme="minorHAnsi" w:cs="Calibri"/>
          <w:color w:val="auto"/>
        </w:rPr>
        <w:tab/>
        <w:t xml:space="preserve">Approximately 10 HEIs use a combination of standard contracted hours depending on grade. </w:t>
      </w:r>
    </w:p>
    <w:p w14:paraId="14BAAB19" w14:textId="77777777" w:rsidR="00237309" w:rsidRPr="009C109B" w:rsidRDefault="00237309" w:rsidP="009C109B">
      <w:pPr>
        <w:pStyle w:val="Default"/>
        <w:rPr>
          <w:rFonts w:asciiTheme="minorHAnsi" w:hAnsiTheme="minorHAnsi" w:cs="Calibri"/>
          <w:color w:val="auto"/>
        </w:rPr>
      </w:pPr>
    </w:p>
    <w:p w14:paraId="5842A5F0" w14:textId="77777777" w:rsidR="00237309" w:rsidRPr="009C109B" w:rsidRDefault="00237309" w:rsidP="009C109B">
      <w:pPr>
        <w:pStyle w:val="Default"/>
        <w:rPr>
          <w:rFonts w:asciiTheme="minorHAnsi" w:hAnsiTheme="minorHAnsi" w:cs="Calibri"/>
          <w:color w:val="auto"/>
        </w:rPr>
      </w:pPr>
      <w:r w:rsidRPr="009C109B">
        <w:rPr>
          <w:rFonts w:asciiTheme="minorHAnsi" w:hAnsiTheme="minorHAnsi" w:cs="Calibri"/>
          <w:color w:val="auto"/>
        </w:rPr>
        <w:t xml:space="preserve">The joint trade unions believe that New JNCHES can show leadership for the sector in response to this claim by developing national guidance on moving staff onto 35-hour weekly. Addressing this will go a significant way towards eliminating poverty pay in the sector as well as impacting on workloads.  </w:t>
      </w:r>
    </w:p>
    <w:p w14:paraId="0FE4C973" w14:textId="77777777" w:rsidR="00237309" w:rsidRPr="009C109B" w:rsidRDefault="00237309" w:rsidP="009C109B">
      <w:pPr>
        <w:pStyle w:val="Default"/>
        <w:rPr>
          <w:rFonts w:asciiTheme="minorHAnsi" w:hAnsiTheme="minorHAnsi" w:cs="Calibri"/>
          <w:color w:val="auto"/>
        </w:rPr>
      </w:pPr>
    </w:p>
    <w:p w14:paraId="5710EB69" w14:textId="77777777" w:rsidR="00237309" w:rsidRPr="009C109B" w:rsidRDefault="00237309" w:rsidP="009C109B">
      <w:pPr>
        <w:pStyle w:val="Default"/>
        <w:rPr>
          <w:rFonts w:asciiTheme="minorHAnsi" w:hAnsiTheme="minorHAnsi" w:cs="Calibri"/>
          <w:color w:val="auto"/>
        </w:rPr>
      </w:pPr>
      <w:r w:rsidRPr="009C109B">
        <w:rPr>
          <w:rFonts w:asciiTheme="minorHAnsi" w:hAnsiTheme="minorHAnsi" w:cs="Calibri"/>
          <w:color w:val="auto"/>
        </w:rPr>
        <w:t xml:space="preserve">This section of the pay claim comes under section 8 second bullet point of the New JNCHES Agreement, 26 March 2013. </w:t>
      </w:r>
    </w:p>
    <w:p w14:paraId="3F24028C" w14:textId="77777777" w:rsidR="00237309" w:rsidRPr="009C109B" w:rsidRDefault="00237309" w:rsidP="009C109B">
      <w:pPr>
        <w:pStyle w:val="Default"/>
        <w:rPr>
          <w:rFonts w:asciiTheme="minorHAnsi" w:hAnsiTheme="minorHAnsi" w:cs="Calibri"/>
          <w:color w:val="auto"/>
        </w:rPr>
      </w:pPr>
    </w:p>
    <w:p w14:paraId="638281CF" w14:textId="77777777" w:rsidR="00237309" w:rsidRPr="009C109B" w:rsidRDefault="00237309" w:rsidP="009C109B">
      <w:pPr>
        <w:pStyle w:val="Default"/>
        <w:rPr>
          <w:rFonts w:asciiTheme="minorHAnsi" w:hAnsiTheme="minorHAnsi" w:cs="Calibri"/>
          <w:color w:val="auto"/>
        </w:rPr>
      </w:pPr>
      <w:r w:rsidRPr="009C109B">
        <w:rPr>
          <w:rFonts w:asciiTheme="minorHAnsi" w:hAnsiTheme="minorHAnsi" w:cs="Calibri"/>
          <w:color w:val="auto"/>
        </w:rPr>
        <w:t>The number of hours in the standard weekly contract directly impacts on the amount that salaries are worth per hour. This comes into sharp focus for those working on part-time, hourly paid or zero hours contracts as well as for those on the lowest pay points. Whilst contracts are issued locally by each employer this point in the agreement states that discussions can place on remuneration matters ‘...where the detail is determined locally in the context of the Framework.... allowing consideration of practice...across the sector as a whole...”.</w:t>
      </w:r>
    </w:p>
    <w:p w14:paraId="20BAD0F2" w14:textId="77777777" w:rsidR="00237309" w:rsidRPr="009C109B" w:rsidRDefault="00237309" w:rsidP="009C109B">
      <w:pPr>
        <w:pStyle w:val="Default"/>
        <w:rPr>
          <w:rFonts w:asciiTheme="minorHAnsi" w:hAnsiTheme="minorHAnsi" w:cs="Calibri"/>
          <w:color w:val="auto"/>
        </w:rPr>
      </w:pPr>
    </w:p>
    <w:p w14:paraId="1FDBA674" w14:textId="39EE9939" w:rsidR="001234EC" w:rsidRPr="009C109B" w:rsidRDefault="00237309" w:rsidP="009C109B">
      <w:pPr>
        <w:pStyle w:val="Default"/>
        <w:rPr>
          <w:rFonts w:asciiTheme="minorHAnsi" w:hAnsiTheme="minorHAnsi" w:cs="Calibri"/>
          <w:b/>
          <w:bCs/>
          <w:color w:val="auto"/>
        </w:rPr>
      </w:pPr>
      <w:r w:rsidRPr="009C109B">
        <w:rPr>
          <w:rFonts w:asciiTheme="minorHAnsi" w:hAnsiTheme="minorHAnsi" w:cs="Calibri"/>
          <w:color w:val="auto"/>
        </w:rPr>
        <w:t>Additionally, the New JNCHES pay agreement 2006-09 section 4 “The Standard Working Week” states that “...the sub-committee jointly recommends HEIs with a longer working week explore actively ...a reduction in working hours”.</w:t>
      </w:r>
      <w:r w:rsidR="001234EC" w:rsidRPr="009C109B">
        <w:rPr>
          <w:rFonts w:asciiTheme="minorHAnsi" w:hAnsiTheme="minorHAnsi" w:cs="Calibri"/>
          <w:b/>
          <w:bCs/>
          <w:color w:val="auto"/>
        </w:rPr>
        <w:br w:type="page"/>
      </w:r>
    </w:p>
    <w:p w14:paraId="43A73BF4" w14:textId="77777777" w:rsidR="001234EC" w:rsidRPr="008E4004" w:rsidRDefault="001234EC" w:rsidP="00937C18">
      <w:pPr>
        <w:pStyle w:val="Default"/>
        <w:rPr>
          <w:rStyle w:val="ui-provider"/>
          <w:rFonts w:asciiTheme="minorHAnsi" w:hAnsiTheme="minorHAnsi" w:cs="Calibri"/>
          <w:b/>
          <w:bCs/>
          <w:color w:val="auto"/>
          <w:u w:val="single"/>
        </w:rPr>
      </w:pPr>
      <w:r w:rsidRPr="008E4004">
        <w:rPr>
          <w:rStyle w:val="ui-provider"/>
          <w:rFonts w:asciiTheme="minorHAnsi" w:hAnsiTheme="minorHAnsi" w:cs="Calibri"/>
          <w:b/>
          <w:bCs/>
          <w:color w:val="auto"/>
          <w:u w:val="single"/>
        </w:rPr>
        <w:lastRenderedPageBreak/>
        <w:t>A national Green New Deal Agreement on a Just Transition for the sector which will include a Just Transition Commission in Higher Education</w:t>
      </w:r>
    </w:p>
    <w:p w14:paraId="4B5FEDD3" w14:textId="77777777" w:rsidR="003D1F60" w:rsidRPr="009C109B" w:rsidRDefault="003D1F60" w:rsidP="00937C18">
      <w:pPr>
        <w:pStyle w:val="Default"/>
        <w:rPr>
          <w:rStyle w:val="ui-provider"/>
          <w:rFonts w:asciiTheme="minorHAnsi" w:hAnsiTheme="minorHAnsi" w:cs="Calibri"/>
          <w:b/>
          <w:bCs/>
          <w:color w:val="auto"/>
        </w:rPr>
      </w:pPr>
    </w:p>
    <w:p w14:paraId="68BF1B3E" w14:textId="77777777" w:rsidR="00C65F5C" w:rsidRPr="009C109B" w:rsidRDefault="00C65F5C" w:rsidP="00937C18">
      <w:pPr>
        <w:pStyle w:val="Default"/>
        <w:rPr>
          <w:rFonts w:asciiTheme="minorHAnsi" w:hAnsiTheme="minorHAnsi" w:cs="Calibri"/>
          <w:color w:val="auto"/>
        </w:rPr>
      </w:pPr>
      <w:r w:rsidRPr="009C109B">
        <w:rPr>
          <w:rFonts w:asciiTheme="minorHAnsi" w:hAnsiTheme="minorHAnsi" w:cs="Calibri"/>
          <w:color w:val="auto"/>
        </w:rPr>
        <w:t xml:space="preserve">A ‘Just Transition’ means moving to a more sustainable economy in a way that’s fair to everyone. Popular understanding and government policy often focuses on people working in polluting industries, such as heavy manufacturing, but change will need to happen in every sector. </w:t>
      </w:r>
    </w:p>
    <w:p w14:paraId="0A919CC3" w14:textId="77777777" w:rsidR="00C32A02" w:rsidRPr="009C109B" w:rsidRDefault="00C32A02" w:rsidP="00937C18">
      <w:pPr>
        <w:pStyle w:val="Default"/>
        <w:rPr>
          <w:rFonts w:asciiTheme="minorHAnsi" w:hAnsiTheme="minorHAnsi" w:cs="Calibri"/>
          <w:color w:val="auto"/>
        </w:rPr>
      </w:pPr>
    </w:p>
    <w:p w14:paraId="3980FA08" w14:textId="50B9FFA7" w:rsidR="00C65F5C" w:rsidRPr="009C109B" w:rsidRDefault="00C32A02" w:rsidP="00937C18">
      <w:pPr>
        <w:pStyle w:val="Default"/>
        <w:rPr>
          <w:rFonts w:asciiTheme="minorHAnsi" w:hAnsiTheme="minorHAnsi" w:cs="Calibri"/>
          <w:color w:val="auto"/>
        </w:rPr>
      </w:pPr>
      <w:r w:rsidRPr="009C109B">
        <w:rPr>
          <w:rFonts w:asciiTheme="minorHAnsi" w:hAnsiTheme="minorHAnsi" w:cs="Calibri"/>
          <w:color w:val="auto"/>
        </w:rPr>
        <w:t>T</w:t>
      </w:r>
      <w:r w:rsidR="00C65F5C" w:rsidRPr="009C109B">
        <w:rPr>
          <w:rFonts w:asciiTheme="minorHAnsi" w:hAnsiTheme="minorHAnsi" w:cs="Calibri"/>
          <w:color w:val="auto"/>
        </w:rPr>
        <w:t>he public education sector should lead the re-skilling and training of the workforce for low-carbon industries The transition must, in no way, become another private enterprise venture that reproduces existing economic, racial, and gender inequalities by restricting access to the majority through exorbitant tuition and fees. The fight against privatisation must continue in the transition to a low-carbon world. This is why we would seek to implement a National HE Strategy to transition to net-zero.</w:t>
      </w:r>
    </w:p>
    <w:p w14:paraId="62DB2D19" w14:textId="77777777" w:rsidR="00C32A02" w:rsidRPr="009C109B" w:rsidRDefault="00C32A02" w:rsidP="00937C18">
      <w:pPr>
        <w:pStyle w:val="Default"/>
        <w:rPr>
          <w:rFonts w:asciiTheme="minorHAnsi" w:hAnsiTheme="minorHAnsi" w:cs="Calibri"/>
          <w:color w:val="auto"/>
        </w:rPr>
      </w:pPr>
    </w:p>
    <w:p w14:paraId="2404C8A5" w14:textId="0BAD6CD7" w:rsidR="00C65F5C" w:rsidRPr="009C109B" w:rsidRDefault="00C32A02" w:rsidP="00937C18">
      <w:pPr>
        <w:pStyle w:val="Default"/>
        <w:rPr>
          <w:rFonts w:asciiTheme="minorHAnsi" w:hAnsiTheme="minorHAnsi" w:cs="Calibri"/>
          <w:color w:val="auto"/>
        </w:rPr>
      </w:pPr>
      <w:r w:rsidRPr="009C109B">
        <w:rPr>
          <w:rFonts w:asciiTheme="minorHAnsi" w:hAnsiTheme="minorHAnsi" w:cs="Calibri"/>
          <w:color w:val="auto"/>
        </w:rPr>
        <w:t>W</w:t>
      </w:r>
      <w:r w:rsidR="00C65F5C" w:rsidRPr="009C109B">
        <w:rPr>
          <w:rFonts w:asciiTheme="minorHAnsi" w:hAnsiTheme="minorHAnsi" w:cs="Calibri"/>
          <w:color w:val="auto"/>
        </w:rPr>
        <w:t xml:space="preserve">e need to establish the foundations of collective bargaining for tomorrow, today, if we are to fairly address the impacts of climate change on the working conditions and </w:t>
      </w:r>
      <w:proofErr w:type="gramStart"/>
      <w:r w:rsidR="00C65F5C" w:rsidRPr="009C109B">
        <w:rPr>
          <w:rFonts w:asciiTheme="minorHAnsi" w:hAnsiTheme="minorHAnsi" w:cs="Calibri"/>
          <w:color w:val="auto"/>
        </w:rPr>
        <w:t>future prospects</w:t>
      </w:r>
      <w:proofErr w:type="gramEnd"/>
      <w:r w:rsidR="00C65F5C" w:rsidRPr="009C109B">
        <w:rPr>
          <w:rFonts w:asciiTheme="minorHAnsi" w:hAnsiTheme="minorHAnsi" w:cs="Calibri"/>
          <w:color w:val="auto"/>
        </w:rPr>
        <w:t xml:space="preserve"> of the education sector, rather than reacting when it is too late. Research has shown that where changes are felt to be fair, they tend to have greater workforce buy-in, less opposition, lower costs, and better outcomes. Collective bargaining ensures that workers’ voices are part of that process. </w:t>
      </w:r>
    </w:p>
    <w:p w14:paraId="706F8BF1" w14:textId="77777777" w:rsidR="00C32A02" w:rsidRPr="009C109B" w:rsidRDefault="00C32A02" w:rsidP="00937C18">
      <w:pPr>
        <w:pStyle w:val="Default"/>
        <w:rPr>
          <w:rFonts w:asciiTheme="minorHAnsi" w:hAnsiTheme="minorHAnsi" w:cs="Calibri"/>
          <w:color w:val="auto"/>
        </w:rPr>
      </w:pPr>
    </w:p>
    <w:p w14:paraId="66921D35" w14:textId="17353CF0" w:rsidR="00C65F5C" w:rsidRPr="009C109B" w:rsidRDefault="00C65F5C" w:rsidP="00937C18">
      <w:pPr>
        <w:pStyle w:val="Default"/>
        <w:rPr>
          <w:rFonts w:asciiTheme="minorHAnsi" w:hAnsiTheme="minorHAnsi" w:cs="Calibri"/>
          <w:color w:val="auto"/>
        </w:rPr>
      </w:pPr>
      <w:r w:rsidRPr="009C109B">
        <w:rPr>
          <w:rFonts w:asciiTheme="minorHAnsi" w:hAnsiTheme="minorHAnsi" w:cs="Calibri"/>
          <w:color w:val="auto"/>
        </w:rPr>
        <w:t xml:space="preserve">Finally, funding models in post-16 education need to change if we are to meet the demands of net-zero. There is a need to transition away from fossil fuel funded research, investment and innovation whilst protecting jobs and academic disciplines. </w:t>
      </w:r>
    </w:p>
    <w:p w14:paraId="18E7B374" w14:textId="77777777" w:rsidR="00C32A02" w:rsidRPr="009C109B" w:rsidRDefault="00C32A02" w:rsidP="00937C18">
      <w:pPr>
        <w:pStyle w:val="Default"/>
        <w:rPr>
          <w:rFonts w:asciiTheme="minorHAnsi" w:hAnsiTheme="minorHAnsi" w:cs="Calibri"/>
          <w:color w:val="auto"/>
        </w:rPr>
      </w:pPr>
    </w:p>
    <w:p w14:paraId="4E7EDA68" w14:textId="2F049630" w:rsidR="00C65F5C" w:rsidRPr="009C109B" w:rsidRDefault="00C32A02" w:rsidP="00937C18">
      <w:pPr>
        <w:pStyle w:val="Default"/>
        <w:rPr>
          <w:rFonts w:asciiTheme="minorHAnsi" w:hAnsiTheme="minorHAnsi" w:cs="Calibri"/>
          <w:color w:val="auto"/>
        </w:rPr>
      </w:pPr>
      <w:r w:rsidRPr="009C109B">
        <w:rPr>
          <w:rFonts w:asciiTheme="minorHAnsi" w:hAnsiTheme="minorHAnsi" w:cs="Calibri"/>
          <w:color w:val="auto"/>
        </w:rPr>
        <w:t>The joint trade union claim</w:t>
      </w:r>
      <w:r w:rsidR="00C65F5C" w:rsidRPr="009C109B">
        <w:rPr>
          <w:rFonts w:asciiTheme="minorHAnsi" w:hAnsiTheme="minorHAnsi" w:cs="Calibri"/>
          <w:color w:val="auto"/>
        </w:rPr>
        <w:t xml:space="preserve"> sets out the framework to do just that.</w:t>
      </w:r>
    </w:p>
    <w:p w14:paraId="5C8E7942" w14:textId="77777777" w:rsidR="00B730E0" w:rsidRPr="009C109B" w:rsidRDefault="00B730E0" w:rsidP="00937C18">
      <w:pPr>
        <w:pStyle w:val="Default"/>
        <w:rPr>
          <w:rFonts w:asciiTheme="minorHAnsi" w:hAnsiTheme="minorHAnsi" w:cs="Calibri"/>
          <w:color w:val="auto"/>
        </w:rPr>
      </w:pPr>
    </w:p>
    <w:p w14:paraId="6EDCC360" w14:textId="77777777" w:rsidR="00D05E52" w:rsidRPr="009C109B" w:rsidRDefault="00D05E52" w:rsidP="00937C18">
      <w:pPr>
        <w:pStyle w:val="Default"/>
        <w:numPr>
          <w:ilvl w:val="0"/>
          <w:numId w:val="7"/>
        </w:numPr>
        <w:ind w:left="720"/>
        <w:rPr>
          <w:rFonts w:asciiTheme="minorHAnsi" w:hAnsiTheme="minorHAnsi" w:cs="Calibri"/>
          <w:color w:val="auto"/>
        </w:rPr>
      </w:pPr>
      <w:r w:rsidRPr="009C109B">
        <w:rPr>
          <w:rFonts w:asciiTheme="minorHAnsi" w:hAnsiTheme="minorHAnsi" w:cs="Calibri"/>
          <w:color w:val="auto"/>
        </w:rPr>
        <w:t xml:space="preserve">To establish a working group with the joint trade union side to agree a proposal to present to the government for a JTC for Higher Education for review and approval through the April JNCHES structures. </w:t>
      </w:r>
    </w:p>
    <w:p w14:paraId="0751B66A" w14:textId="77777777" w:rsidR="00D05E52" w:rsidRPr="009C109B" w:rsidRDefault="00D05E52" w:rsidP="00937C18">
      <w:pPr>
        <w:pStyle w:val="Default"/>
        <w:numPr>
          <w:ilvl w:val="0"/>
          <w:numId w:val="7"/>
        </w:numPr>
        <w:ind w:left="720"/>
        <w:rPr>
          <w:rFonts w:asciiTheme="minorHAnsi" w:hAnsiTheme="minorHAnsi" w:cs="Calibri"/>
          <w:color w:val="auto"/>
        </w:rPr>
      </w:pPr>
      <w:r w:rsidRPr="009C109B">
        <w:rPr>
          <w:rFonts w:asciiTheme="minorHAnsi" w:hAnsiTheme="minorHAnsi" w:cs="Calibri"/>
          <w:color w:val="auto"/>
        </w:rPr>
        <w:t xml:space="preserve">To work with the trade union side to develop a proposal to present to the government for a JTC for Higher Education to be developed for agreement in the Autumn JNCHES negotiation cycle, with public release and </w:t>
      </w:r>
      <w:proofErr w:type="gramStart"/>
      <w:r w:rsidRPr="009C109B">
        <w:rPr>
          <w:rFonts w:asciiTheme="minorHAnsi" w:hAnsiTheme="minorHAnsi" w:cs="Calibri"/>
          <w:color w:val="auto"/>
        </w:rPr>
        <w:t>communications  by</w:t>
      </w:r>
      <w:proofErr w:type="gramEnd"/>
      <w:r w:rsidRPr="009C109B">
        <w:rPr>
          <w:rFonts w:asciiTheme="minorHAnsi" w:hAnsiTheme="minorHAnsi" w:cs="Calibri"/>
          <w:color w:val="auto"/>
        </w:rPr>
        <w:t xml:space="preserve"> November 2024.</w:t>
      </w:r>
    </w:p>
    <w:p w14:paraId="236D0BC1" w14:textId="4CA7FFAF" w:rsidR="00B730E0" w:rsidRPr="009C109B" w:rsidRDefault="00B730E0" w:rsidP="00937C18">
      <w:pPr>
        <w:pStyle w:val="Default"/>
        <w:numPr>
          <w:ilvl w:val="0"/>
          <w:numId w:val="7"/>
        </w:numPr>
        <w:ind w:left="720"/>
        <w:rPr>
          <w:rFonts w:asciiTheme="minorHAnsi" w:hAnsiTheme="minorHAnsi" w:cs="Calibri"/>
          <w:color w:val="auto"/>
        </w:rPr>
      </w:pPr>
      <w:r w:rsidRPr="009C109B">
        <w:rPr>
          <w:rFonts w:asciiTheme="minorHAnsi" w:hAnsiTheme="minorHAnsi" w:cs="Calibri"/>
          <w:color w:val="auto"/>
        </w:rPr>
        <w:t>Ethical AI and right to human review</w:t>
      </w:r>
      <w:r w:rsidR="00640EDA">
        <w:rPr>
          <w:rFonts w:asciiTheme="minorHAnsi" w:hAnsiTheme="minorHAnsi" w:cs="Calibri"/>
          <w:color w:val="auto"/>
        </w:rPr>
        <w:t>.</w:t>
      </w:r>
    </w:p>
    <w:p w14:paraId="727691D8" w14:textId="025D3431" w:rsidR="00B730E0" w:rsidRPr="009C109B" w:rsidRDefault="00B730E0" w:rsidP="00937C18">
      <w:pPr>
        <w:pStyle w:val="Default"/>
        <w:numPr>
          <w:ilvl w:val="0"/>
          <w:numId w:val="7"/>
        </w:numPr>
        <w:ind w:left="720"/>
        <w:rPr>
          <w:rFonts w:asciiTheme="minorHAnsi" w:hAnsiTheme="minorHAnsi" w:cs="Calibri"/>
          <w:color w:val="auto"/>
        </w:rPr>
      </w:pPr>
      <w:r w:rsidRPr="009C109B">
        <w:rPr>
          <w:rFonts w:asciiTheme="minorHAnsi" w:hAnsiTheme="minorHAnsi" w:cs="Calibri"/>
          <w:color w:val="auto"/>
        </w:rPr>
        <w:t>Review of e-publishing</w:t>
      </w:r>
      <w:r w:rsidR="00640EDA">
        <w:rPr>
          <w:rFonts w:asciiTheme="minorHAnsi" w:hAnsiTheme="minorHAnsi" w:cs="Calibri"/>
          <w:color w:val="auto"/>
        </w:rPr>
        <w:t>.</w:t>
      </w:r>
    </w:p>
    <w:p w14:paraId="13DF57B5" w14:textId="6408CC25" w:rsidR="00C32A02" w:rsidRPr="009C109B" w:rsidRDefault="00C32A02" w:rsidP="00937C18">
      <w:pPr>
        <w:pStyle w:val="Default"/>
        <w:numPr>
          <w:ilvl w:val="0"/>
          <w:numId w:val="7"/>
        </w:numPr>
        <w:ind w:left="720"/>
        <w:rPr>
          <w:rFonts w:asciiTheme="minorHAnsi" w:hAnsiTheme="minorHAnsi" w:cs="Calibri"/>
          <w:color w:val="auto"/>
        </w:rPr>
      </w:pPr>
      <w:r w:rsidRPr="009C109B">
        <w:rPr>
          <w:rFonts w:asciiTheme="minorHAnsi" w:hAnsiTheme="minorHAnsi" w:cs="Calibri"/>
          <w:color w:val="auto"/>
        </w:rPr>
        <w:t>Facilities time for Environmental Reps at Institutional level</w:t>
      </w:r>
      <w:r w:rsidR="00640EDA">
        <w:rPr>
          <w:rFonts w:asciiTheme="minorHAnsi" w:hAnsiTheme="minorHAnsi" w:cs="Calibri"/>
          <w:color w:val="auto"/>
        </w:rPr>
        <w:t>.</w:t>
      </w:r>
    </w:p>
    <w:p w14:paraId="07170EC9" w14:textId="77777777" w:rsidR="00C32A02" w:rsidRPr="009C109B" w:rsidRDefault="00C32A02" w:rsidP="00937C18">
      <w:pPr>
        <w:pStyle w:val="Default"/>
        <w:numPr>
          <w:ilvl w:val="0"/>
          <w:numId w:val="7"/>
        </w:numPr>
        <w:ind w:left="720"/>
        <w:rPr>
          <w:rFonts w:asciiTheme="minorHAnsi" w:hAnsiTheme="minorHAnsi" w:cs="Calibri"/>
          <w:color w:val="auto"/>
        </w:rPr>
      </w:pPr>
      <w:r w:rsidRPr="009C109B">
        <w:rPr>
          <w:rFonts w:asciiTheme="minorHAnsi" w:hAnsiTheme="minorHAnsi" w:cs="Calibri"/>
          <w:color w:val="auto"/>
        </w:rPr>
        <w:t>In line with DfE Climate Strategy. Encourage partnerships to support children to learn more about the environment and sustainability, for example universities linking with schools to share green spaces and climate expertise.</w:t>
      </w:r>
    </w:p>
    <w:p w14:paraId="01B3CF5E" w14:textId="77777777" w:rsidR="001234EC" w:rsidRPr="009C109B" w:rsidRDefault="001234EC" w:rsidP="00937C18">
      <w:pPr>
        <w:pStyle w:val="Default"/>
        <w:rPr>
          <w:rFonts w:asciiTheme="minorHAnsi" w:hAnsiTheme="minorHAnsi" w:cs="Calibri"/>
          <w:color w:val="auto"/>
        </w:rPr>
      </w:pPr>
    </w:p>
    <w:p w14:paraId="4AFF91BA" w14:textId="77777777" w:rsidR="00412795" w:rsidRPr="009C109B" w:rsidRDefault="00412795" w:rsidP="009C109B">
      <w:pPr>
        <w:pStyle w:val="Default"/>
        <w:numPr>
          <w:ilvl w:val="0"/>
          <w:numId w:val="2"/>
        </w:numPr>
        <w:rPr>
          <w:rFonts w:asciiTheme="minorHAnsi" w:hAnsiTheme="minorHAnsi" w:cs="Calibri"/>
          <w:color w:val="auto"/>
        </w:rPr>
      </w:pPr>
      <w:r w:rsidRPr="009C109B">
        <w:rPr>
          <w:rFonts w:asciiTheme="minorHAnsi" w:hAnsiTheme="minorHAnsi" w:cs="Calibri"/>
          <w:color w:val="auto"/>
        </w:rPr>
        <w:br w:type="page"/>
      </w:r>
    </w:p>
    <w:p w14:paraId="6A2706D0" w14:textId="3A80D055" w:rsidR="001234EC" w:rsidRPr="000A4553" w:rsidRDefault="001234EC" w:rsidP="00937C18">
      <w:pPr>
        <w:pStyle w:val="Default"/>
        <w:rPr>
          <w:rFonts w:asciiTheme="minorHAnsi" w:hAnsiTheme="minorHAnsi" w:cs="Calibri"/>
          <w:b/>
          <w:bCs/>
          <w:color w:val="auto"/>
          <w:u w:val="single"/>
        </w:rPr>
      </w:pPr>
      <w:r w:rsidRPr="000A4553">
        <w:rPr>
          <w:rFonts w:asciiTheme="minorHAnsi" w:hAnsiTheme="minorHAnsi" w:cs="Calibri"/>
          <w:b/>
          <w:bCs/>
          <w:color w:val="auto"/>
          <w:u w:val="single"/>
        </w:rPr>
        <w:lastRenderedPageBreak/>
        <w:t xml:space="preserve">UCEA to commit to the protection of national agreements relating to terms and conditions of employment including the </w:t>
      </w:r>
      <w:proofErr w:type="gramStart"/>
      <w:r w:rsidRPr="000A4553">
        <w:rPr>
          <w:rFonts w:asciiTheme="minorHAnsi" w:hAnsiTheme="minorHAnsi" w:cs="Calibri"/>
          <w:b/>
          <w:bCs/>
          <w:color w:val="auto"/>
          <w:u w:val="single"/>
        </w:rPr>
        <w:t>Post-92</w:t>
      </w:r>
      <w:proofErr w:type="gramEnd"/>
      <w:r w:rsidRPr="000A4553">
        <w:rPr>
          <w:rFonts w:asciiTheme="minorHAnsi" w:hAnsiTheme="minorHAnsi" w:cs="Calibri"/>
          <w:b/>
          <w:bCs/>
          <w:color w:val="auto"/>
          <w:u w:val="single"/>
        </w:rPr>
        <w:t xml:space="preserve"> national contract and HE2000</w:t>
      </w:r>
    </w:p>
    <w:p w14:paraId="65CC12AE" w14:textId="77777777" w:rsidR="003D1F60" w:rsidRPr="009C109B" w:rsidRDefault="003D1F60" w:rsidP="00937C18">
      <w:pPr>
        <w:pStyle w:val="Default"/>
        <w:rPr>
          <w:rFonts w:asciiTheme="minorHAnsi" w:hAnsiTheme="minorHAnsi" w:cs="Calibri"/>
          <w:b/>
          <w:bCs/>
          <w:color w:val="auto"/>
        </w:rPr>
      </w:pPr>
    </w:p>
    <w:p w14:paraId="5E540B53" w14:textId="3C50157C" w:rsidR="009064A1" w:rsidRPr="009C109B" w:rsidRDefault="009064A1" w:rsidP="00937C18">
      <w:pPr>
        <w:pStyle w:val="Default"/>
        <w:rPr>
          <w:rFonts w:asciiTheme="minorHAnsi" w:hAnsiTheme="minorHAnsi" w:cs="Calibri"/>
          <w:color w:val="auto"/>
        </w:rPr>
      </w:pPr>
      <w:r w:rsidRPr="009C109B">
        <w:rPr>
          <w:rFonts w:asciiTheme="minorHAnsi" w:hAnsiTheme="minorHAnsi" w:cs="Calibri"/>
          <w:color w:val="auto"/>
        </w:rPr>
        <w:t>There is growing evidence of</w:t>
      </w:r>
      <w:r w:rsidR="00FC3858" w:rsidRPr="009C109B">
        <w:rPr>
          <w:rFonts w:asciiTheme="minorHAnsi" w:hAnsiTheme="minorHAnsi" w:cs="Calibri"/>
          <w:color w:val="auto"/>
        </w:rPr>
        <w:t xml:space="preserve"> individual employers moving beyond the terms and conditions laid down in the Post-92 </w:t>
      </w:r>
      <w:bookmarkStart w:id="0" w:name="_Hlk163647463"/>
      <w:r w:rsidR="004B5880" w:rsidRPr="009C109B">
        <w:rPr>
          <w:rFonts w:asciiTheme="minorHAnsi" w:hAnsiTheme="minorHAnsi" w:cs="Calibri"/>
          <w:color w:val="auto"/>
        </w:rPr>
        <w:t>Contract</w:t>
      </w:r>
      <w:r w:rsidR="00FC3858" w:rsidRPr="009C109B">
        <w:rPr>
          <w:rFonts w:asciiTheme="minorHAnsi" w:hAnsiTheme="minorHAnsi" w:cs="Calibri"/>
          <w:color w:val="auto"/>
        </w:rPr>
        <w:t xml:space="preserve">, accompanying </w:t>
      </w:r>
      <w:r w:rsidR="004B5880" w:rsidRPr="009C109B">
        <w:rPr>
          <w:rFonts w:asciiTheme="minorHAnsi" w:hAnsiTheme="minorHAnsi" w:cs="Calibri"/>
          <w:color w:val="auto"/>
        </w:rPr>
        <w:t>Framework</w:t>
      </w:r>
      <w:r w:rsidR="00FC3858" w:rsidRPr="009C109B">
        <w:rPr>
          <w:rFonts w:asciiTheme="minorHAnsi" w:hAnsiTheme="minorHAnsi" w:cs="Calibri"/>
          <w:color w:val="auto"/>
        </w:rPr>
        <w:t xml:space="preserve"> Agreement</w:t>
      </w:r>
      <w:r w:rsidR="00AA5093" w:rsidRPr="009C109B">
        <w:rPr>
          <w:rFonts w:asciiTheme="minorHAnsi" w:hAnsiTheme="minorHAnsi" w:cs="Calibri"/>
          <w:color w:val="auto"/>
        </w:rPr>
        <w:t xml:space="preserve">, and HE2000.  </w:t>
      </w:r>
      <w:bookmarkEnd w:id="0"/>
      <w:r w:rsidR="00AA5093" w:rsidRPr="009C109B">
        <w:rPr>
          <w:rFonts w:asciiTheme="minorHAnsi" w:hAnsiTheme="minorHAnsi" w:cs="Calibri"/>
          <w:color w:val="auto"/>
        </w:rPr>
        <w:t xml:space="preserve">In </w:t>
      </w:r>
      <w:r w:rsidR="004B5880" w:rsidRPr="009C109B">
        <w:rPr>
          <w:rFonts w:asciiTheme="minorHAnsi" w:hAnsiTheme="minorHAnsi" w:cs="Calibri"/>
          <w:color w:val="auto"/>
        </w:rPr>
        <w:t>particular</w:t>
      </w:r>
      <w:r w:rsidR="00AA5093" w:rsidRPr="009C109B">
        <w:rPr>
          <w:rFonts w:asciiTheme="minorHAnsi" w:hAnsiTheme="minorHAnsi" w:cs="Calibri"/>
          <w:color w:val="auto"/>
        </w:rPr>
        <w:t xml:space="preserve">, the employment </w:t>
      </w:r>
      <w:r w:rsidR="004B5880" w:rsidRPr="009C109B">
        <w:rPr>
          <w:rFonts w:asciiTheme="minorHAnsi" w:hAnsiTheme="minorHAnsi" w:cs="Calibri"/>
          <w:color w:val="auto"/>
        </w:rPr>
        <w:t>of</w:t>
      </w:r>
      <w:r w:rsidR="00AA5093" w:rsidRPr="009C109B">
        <w:rPr>
          <w:rFonts w:asciiTheme="minorHAnsi" w:hAnsiTheme="minorHAnsi" w:cs="Calibri"/>
          <w:color w:val="auto"/>
        </w:rPr>
        <w:t xml:space="preserve"> staff on inferior terms and conditions and </w:t>
      </w:r>
      <w:r w:rsidR="004B5880" w:rsidRPr="009C109B">
        <w:rPr>
          <w:rFonts w:asciiTheme="minorHAnsi" w:hAnsiTheme="minorHAnsi" w:cs="Calibri"/>
          <w:color w:val="auto"/>
        </w:rPr>
        <w:t>inappropriate</w:t>
      </w:r>
      <w:r w:rsidR="00AA5093" w:rsidRPr="009C109B">
        <w:rPr>
          <w:rFonts w:asciiTheme="minorHAnsi" w:hAnsiTheme="minorHAnsi" w:cs="Calibri"/>
          <w:color w:val="auto"/>
        </w:rPr>
        <w:t xml:space="preserve"> pay grades.</w:t>
      </w:r>
    </w:p>
    <w:p w14:paraId="493667F5" w14:textId="77777777" w:rsidR="00AA5093" w:rsidRPr="009C109B" w:rsidRDefault="00AA5093" w:rsidP="00937C18">
      <w:pPr>
        <w:pStyle w:val="Default"/>
        <w:rPr>
          <w:rFonts w:asciiTheme="minorHAnsi" w:hAnsiTheme="minorHAnsi" w:cs="Calibri"/>
          <w:color w:val="auto"/>
        </w:rPr>
      </w:pPr>
    </w:p>
    <w:p w14:paraId="58614758" w14:textId="47F02561" w:rsidR="00AA5093" w:rsidRDefault="00AA5093" w:rsidP="00937C18">
      <w:pPr>
        <w:pStyle w:val="Default"/>
        <w:rPr>
          <w:rFonts w:asciiTheme="minorHAnsi" w:hAnsiTheme="minorHAnsi" w:cs="Calibri"/>
          <w:color w:val="auto"/>
        </w:rPr>
      </w:pPr>
      <w:r w:rsidRPr="009C109B">
        <w:rPr>
          <w:rFonts w:asciiTheme="minorHAnsi" w:hAnsiTheme="minorHAnsi" w:cs="Calibri"/>
          <w:color w:val="auto"/>
        </w:rPr>
        <w:t>We call on UCEA to</w:t>
      </w:r>
      <w:r w:rsidR="008336CD" w:rsidRPr="009C109B">
        <w:rPr>
          <w:rFonts w:asciiTheme="minorHAnsi" w:hAnsiTheme="minorHAnsi" w:cs="Calibri"/>
          <w:color w:val="auto"/>
        </w:rPr>
        <w:t xml:space="preserve"> call on </w:t>
      </w:r>
      <w:r w:rsidR="004B5880" w:rsidRPr="009C109B">
        <w:rPr>
          <w:rFonts w:asciiTheme="minorHAnsi" w:hAnsiTheme="minorHAnsi" w:cs="Calibri"/>
          <w:color w:val="auto"/>
        </w:rPr>
        <w:t>its</w:t>
      </w:r>
      <w:r w:rsidR="008336CD" w:rsidRPr="009C109B">
        <w:rPr>
          <w:rFonts w:asciiTheme="minorHAnsi" w:hAnsiTheme="minorHAnsi" w:cs="Calibri"/>
          <w:color w:val="auto"/>
        </w:rPr>
        <w:t xml:space="preserve"> members </w:t>
      </w:r>
      <w:r w:rsidR="004B5880" w:rsidRPr="009C109B">
        <w:rPr>
          <w:rFonts w:asciiTheme="minorHAnsi" w:hAnsiTheme="minorHAnsi" w:cs="Calibri"/>
          <w:color w:val="auto"/>
        </w:rPr>
        <w:t>publicly</w:t>
      </w:r>
      <w:r w:rsidR="008336CD" w:rsidRPr="009C109B">
        <w:rPr>
          <w:rFonts w:asciiTheme="minorHAnsi" w:hAnsiTheme="minorHAnsi" w:cs="Calibri"/>
          <w:color w:val="auto"/>
        </w:rPr>
        <w:t xml:space="preserve"> to support the agreed terms and conditions of HE staff laid down in the Post</w:t>
      </w:r>
      <w:r w:rsidR="00D50E88">
        <w:rPr>
          <w:rFonts w:asciiTheme="minorHAnsi" w:hAnsiTheme="minorHAnsi" w:cs="Calibri"/>
          <w:color w:val="auto"/>
        </w:rPr>
        <w:t>-92</w:t>
      </w:r>
      <w:r w:rsidR="008336CD" w:rsidRPr="009C109B">
        <w:rPr>
          <w:rFonts w:asciiTheme="minorHAnsi" w:hAnsiTheme="minorHAnsi"/>
          <w:color w:val="auto"/>
        </w:rPr>
        <w:t xml:space="preserve"> </w:t>
      </w:r>
      <w:r w:rsidR="004B5880" w:rsidRPr="009C109B">
        <w:rPr>
          <w:rFonts w:asciiTheme="minorHAnsi" w:hAnsiTheme="minorHAnsi" w:cs="Calibri"/>
          <w:color w:val="auto"/>
        </w:rPr>
        <w:t>Contract</w:t>
      </w:r>
      <w:r w:rsidR="008336CD" w:rsidRPr="009C109B">
        <w:rPr>
          <w:rFonts w:asciiTheme="minorHAnsi" w:hAnsiTheme="minorHAnsi" w:cs="Calibri"/>
          <w:color w:val="auto"/>
        </w:rPr>
        <w:t xml:space="preserve">, accompanying </w:t>
      </w:r>
      <w:r w:rsidR="004B5880" w:rsidRPr="009C109B">
        <w:rPr>
          <w:rFonts w:asciiTheme="minorHAnsi" w:hAnsiTheme="minorHAnsi" w:cs="Calibri"/>
          <w:color w:val="auto"/>
        </w:rPr>
        <w:t>Framework</w:t>
      </w:r>
      <w:r w:rsidR="008336CD" w:rsidRPr="009C109B">
        <w:rPr>
          <w:rFonts w:asciiTheme="minorHAnsi" w:hAnsiTheme="minorHAnsi" w:cs="Calibri"/>
          <w:color w:val="auto"/>
        </w:rPr>
        <w:t xml:space="preserve"> Agreement, and HE2000 and to </w:t>
      </w:r>
      <w:r w:rsidR="00662B9A" w:rsidRPr="009C109B">
        <w:rPr>
          <w:rFonts w:asciiTheme="minorHAnsi" w:hAnsiTheme="minorHAnsi" w:cs="Calibri"/>
          <w:color w:val="auto"/>
        </w:rPr>
        <w:t>ensure that HE employers abide by these agreements.</w:t>
      </w:r>
    </w:p>
    <w:p w14:paraId="67F5F144" w14:textId="77777777" w:rsidR="00937C18" w:rsidRDefault="00937C18" w:rsidP="009C109B">
      <w:pPr>
        <w:pStyle w:val="Default"/>
        <w:ind w:left="360"/>
        <w:rPr>
          <w:rFonts w:asciiTheme="minorHAnsi" w:hAnsiTheme="minorHAnsi" w:cs="Calibri"/>
          <w:color w:val="auto"/>
        </w:rPr>
      </w:pPr>
    </w:p>
    <w:p w14:paraId="68D2AA0B" w14:textId="2AABC925" w:rsidR="00412795" w:rsidRPr="002C36A2" w:rsidRDefault="00412795" w:rsidP="009C109B">
      <w:pPr>
        <w:pStyle w:val="Default"/>
        <w:ind w:left="360"/>
        <w:rPr>
          <w:rFonts w:asciiTheme="minorHAnsi" w:eastAsia="Arial" w:hAnsiTheme="minorHAnsi"/>
          <w:color w:val="auto"/>
          <w14:ligatures w14:val="none"/>
        </w:rPr>
      </w:pPr>
    </w:p>
    <w:p w14:paraId="77EF9813" w14:textId="77777777" w:rsidR="000A4553" w:rsidRDefault="000A4553">
      <w:pPr>
        <w:spacing w:after="160" w:line="259" w:lineRule="auto"/>
        <w:rPr>
          <w:rFonts w:asciiTheme="minorHAnsi" w:eastAsia="Arial" w:hAnsiTheme="minorHAnsi" w:cs="Arial"/>
          <w:b/>
          <w:bCs/>
          <w:sz w:val="24"/>
          <w:szCs w:val="24"/>
          <w14:ligatures w14:val="none"/>
        </w:rPr>
      </w:pPr>
      <w:r>
        <w:rPr>
          <w:rFonts w:asciiTheme="minorHAnsi" w:eastAsia="Arial" w:hAnsiTheme="minorHAnsi"/>
          <w:b/>
          <w:bCs/>
          <w14:ligatures w14:val="none"/>
        </w:rPr>
        <w:br w:type="page"/>
      </w:r>
    </w:p>
    <w:p w14:paraId="27BB5EA2" w14:textId="3DAA021F" w:rsidR="001234EC" w:rsidRPr="000A4553" w:rsidRDefault="001234EC" w:rsidP="009C109B">
      <w:pPr>
        <w:pStyle w:val="Default"/>
        <w:rPr>
          <w:rFonts w:asciiTheme="minorHAnsi" w:eastAsia="Arial" w:hAnsiTheme="minorHAnsi"/>
          <w:b/>
          <w:bCs/>
          <w:color w:val="auto"/>
          <w:u w:val="single"/>
          <w14:ligatures w14:val="none"/>
        </w:rPr>
      </w:pPr>
      <w:r w:rsidRPr="000A4553">
        <w:rPr>
          <w:rFonts w:asciiTheme="minorHAnsi" w:eastAsia="Arial" w:hAnsiTheme="minorHAnsi"/>
          <w:b/>
          <w:bCs/>
          <w:color w:val="auto"/>
          <w:u w:val="single"/>
          <w14:ligatures w14:val="none"/>
        </w:rPr>
        <w:lastRenderedPageBreak/>
        <w:t>To establish the Scottish sub-committee of New JNCHES as set out under the New JNCHES agreement</w:t>
      </w:r>
    </w:p>
    <w:p w14:paraId="44AB5679" w14:textId="77777777" w:rsidR="003D1F60" w:rsidRPr="009C109B" w:rsidRDefault="003D1F60" w:rsidP="009C109B">
      <w:pPr>
        <w:pStyle w:val="Default"/>
        <w:rPr>
          <w:rFonts w:asciiTheme="minorHAnsi" w:hAnsiTheme="minorHAnsi" w:cs="Calibri"/>
          <w:b/>
          <w:bCs/>
          <w:color w:val="auto"/>
        </w:rPr>
      </w:pPr>
    </w:p>
    <w:p w14:paraId="2A8A77A6" w14:textId="77777777" w:rsidR="00942F13" w:rsidRPr="009C109B" w:rsidRDefault="00942F13" w:rsidP="009C109B">
      <w:pPr>
        <w:pStyle w:val="Default"/>
        <w:rPr>
          <w:rFonts w:asciiTheme="minorHAnsi" w:hAnsiTheme="minorHAnsi" w:cs="Calibri"/>
          <w:color w:val="auto"/>
        </w:rPr>
      </w:pPr>
      <w:r w:rsidRPr="009C109B">
        <w:rPr>
          <w:rFonts w:asciiTheme="minorHAnsi" w:hAnsiTheme="minorHAnsi" w:cs="Calibri"/>
          <w:color w:val="auto"/>
        </w:rPr>
        <w:t>The New JNCHES Agreement expressly acknowledges the reality of the establishment of devolved HE sectors for the devolved administrations within the UK, and that a subcommittee of the NEW JNCHES Committee may be formed to look at HE issues for any of the devolved administrations. There is clear evidence that there are some diverging trends and structures emerging in Scotland relative to the rest of the UK. The Fair Work Convention is Scotland specific, and a Scottish JNCHES would need to ensure that this is embedded within Scottish HEI’s and is beyond the scope of the full JNCHES. A Scottish JNCHES subcommittee would provide the appropriate forum for legitimate discussion and engagement on this and other issues.</w:t>
      </w:r>
    </w:p>
    <w:p w14:paraId="1D1CE629" w14:textId="77777777" w:rsidR="00942F13" w:rsidRPr="009C109B" w:rsidRDefault="00942F13" w:rsidP="009C109B">
      <w:pPr>
        <w:pStyle w:val="Default"/>
        <w:rPr>
          <w:rFonts w:asciiTheme="minorHAnsi" w:hAnsiTheme="minorHAnsi" w:cs="Calibri"/>
          <w:color w:val="auto"/>
        </w:rPr>
      </w:pPr>
    </w:p>
    <w:p w14:paraId="5E62DFF1" w14:textId="77777777" w:rsidR="00ED50DF" w:rsidRPr="009C109B" w:rsidRDefault="00ED50DF" w:rsidP="009C109B">
      <w:pPr>
        <w:pStyle w:val="Default"/>
        <w:rPr>
          <w:rFonts w:asciiTheme="minorHAnsi" w:hAnsiTheme="minorHAnsi" w:cs="Calibri"/>
          <w:color w:val="auto"/>
        </w:rPr>
      </w:pPr>
      <w:r w:rsidRPr="009C109B">
        <w:rPr>
          <w:rFonts w:asciiTheme="minorHAnsi" w:hAnsiTheme="minorHAnsi" w:cs="Calibri"/>
          <w:color w:val="auto"/>
        </w:rPr>
        <w:t xml:space="preserve">For this reason, the trade unions seek the activation of the Scottish New JNCHES Sub- committee to look at Scottish issues. Continued failure to implement this part of the New JNCHES agreement in blocking the formation of the Scottish New JNCHES Sub-Committee is a clear indication of bad faith by the </w:t>
      </w:r>
      <w:proofErr w:type="gramStart"/>
      <w:r w:rsidRPr="009C109B">
        <w:rPr>
          <w:rFonts w:asciiTheme="minorHAnsi" w:hAnsiTheme="minorHAnsi" w:cs="Calibri"/>
          <w:color w:val="auto"/>
        </w:rPr>
        <w:t>employers</w:t>
      </w:r>
      <w:proofErr w:type="gramEnd"/>
      <w:r w:rsidRPr="009C109B">
        <w:rPr>
          <w:rFonts w:asciiTheme="minorHAnsi" w:hAnsiTheme="minorHAnsi" w:cs="Calibri"/>
          <w:color w:val="auto"/>
        </w:rPr>
        <w:t xml:space="preserve"> side.</w:t>
      </w:r>
    </w:p>
    <w:p w14:paraId="1236119F" w14:textId="77777777" w:rsidR="00ED50DF" w:rsidRPr="009C109B" w:rsidRDefault="00ED50DF" w:rsidP="009C109B">
      <w:pPr>
        <w:pStyle w:val="Default"/>
        <w:rPr>
          <w:rFonts w:asciiTheme="minorHAnsi" w:hAnsiTheme="minorHAnsi" w:cs="Calibri"/>
          <w:color w:val="auto"/>
        </w:rPr>
      </w:pPr>
    </w:p>
    <w:p w14:paraId="3F4EB7E9" w14:textId="496D3D8D" w:rsidR="00ED50DF" w:rsidRPr="009C109B" w:rsidRDefault="00ED50DF" w:rsidP="009C109B">
      <w:pPr>
        <w:pStyle w:val="Default"/>
        <w:rPr>
          <w:rFonts w:asciiTheme="minorHAnsi" w:hAnsiTheme="minorHAnsi" w:cs="Calibri"/>
          <w:color w:val="auto"/>
        </w:rPr>
      </w:pPr>
      <w:r w:rsidRPr="009C109B">
        <w:rPr>
          <w:rFonts w:asciiTheme="minorHAnsi" w:hAnsiTheme="minorHAnsi" w:cs="Calibri"/>
          <w:color w:val="auto"/>
        </w:rPr>
        <w:t xml:space="preserve">Over recent years, the importance of having a Scottish sub-committee has become more pronounced. The ways in which Brexit </w:t>
      </w:r>
      <w:r w:rsidR="00CE758D" w:rsidRPr="009C109B">
        <w:rPr>
          <w:rFonts w:asciiTheme="minorHAnsi" w:hAnsiTheme="minorHAnsi" w:cs="Calibri"/>
          <w:color w:val="auto"/>
        </w:rPr>
        <w:t>has affected</w:t>
      </w:r>
      <w:r w:rsidRPr="009C109B">
        <w:rPr>
          <w:rFonts w:asciiTheme="minorHAnsi" w:hAnsiTheme="minorHAnsi" w:cs="Calibri"/>
          <w:color w:val="auto"/>
        </w:rPr>
        <w:t xml:space="preserve"> Scottish universities is</w:t>
      </w:r>
      <w:r w:rsidR="004657C5" w:rsidRPr="009C109B">
        <w:rPr>
          <w:rFonts w:asciiTheme="minorHAnsi" w:hAnsiTheme="minorHAnsi" w:cs="Calibri"/>
          <w:color w:val="auto"/>
        </w:rPr>
        <w:t xml:space="preserve"> </w:t>
      </w:r>
      <w:r w:rsidRPr="009C109B">
        <w:rPr>
          <w:rFonts w:asciiTheme="minorHAnsi" w:hAnsiTheme="minorHAnsi" w:cs="Calibri"/>
          <w:color w:val="auto"/>
        </w:rPr>
        <w:t xml:space="preserve">different from HEIs in England given the different funding and tuition fee regimes. The Higher Education Governance (Sc) Act </w:t>
      </w:r>
      <w:proofErr w:type="gramStart"/>
      <w:r w:rsidRPr="009C109B">
        <w:rPr>
          <w:rFonts w:asciiTheme="minorHAnsi" w:hAnsiTheme="minorHAnsi" w:cs="Calibri"/>
          <w:color w:val="auto"/>
        </w:rPr>
        <w:t>2016  has</w:t>
      </w:r>
      <w:proofErr w:type="gramEnd"/>
      <w:r w:rsidRPr="009C109B">
        <w:rPr>
          <w:rFonts w:asciiTheme="minorHAnsi" w:hAnsiTheme="minorHAnsi" w:cs="Calibri"/>
          <w:color w:val="auto"/>
        </w:rPr>
        <w:t xml:space="preserve"> been implemented, with dialogue taking place on this, and other key sectoral employment issues, in Scotland out-with New JNCHES. The Covid 19 pandemic also demonstrated the need for an effective bargaining body in Scotland to discuss issues specific to the sector in Scotland that affect the workforce.</w:t>
      </w:r>
    </w:p>
    <w:p w14:paraId="4FDBCC08" w14:textId="77777777" w:rsidR="008D4E89" w:rsidRPr="009C109B" w:rsidRDefault="008D4E89" w:rsidP="009C109B">
      <w:pPr>
        <w:pStyle w:val="Default"/>
        <w:rPr>
          <w:rFonts w:asciiTheme="minorHAnsi" w:hAnsiTheme="minorHAnsi" w:cs="Calibri"/>
          <w:color w:val="auto"/>
        </w:rPr>
      </w:pPr>
    </w:p>
    <w:p w14:paraId="0B2E3802" w14:textId="75EB164C" w:rsidR="00942F13" w:rsidRPr="009C109B" w:rsidRDefault="00942F13" w:rsidP="009C109B">
      <w:pPr>
        <w:pStyle w:val="Default"/>
        <w:rPr>
          <w:rFonts w:asciiTheme="minorHAnsi" w:hAnsiTheme="minorHAnsi" w:cs="Calibri"/>
          <w:color w:val="auto"/>
        </w:rPr>
      </w:pPr>
      <w:r w:rsidRPr="009C109B">
        <w:rPr>
          <w:rFonts w:asciiTheme="minorHAnsi" w:hAnsiTheme="minorHAnsi" w:cs="Calibri"/>
          <w:color w:val="auto"/>
        </w:rPr>
        <w:t>The trade union claim is to establish the Scottish Sub-Committee of New JNCHES as set out under the New JNCHES Agreement. The main purpose of the sub-committee would be to deal with matters not currently being dealt with at the New JNCHES Committee and to inform NEW JNCHES where best practi</w:t>
      </w:r>
      <w:r w:rsidR="005F5829" w:rsidRPr="009C109B">
        <w:rPr>
          <w:rFonts w:asciiTheme="minorHAnsi" w:hAnsiTheme="minorHAnsi" w:cs="Calibri"/>
          <w:color w:val="auto"/>
        </w:rPr>
        <w:t>c</w:t>
      </w:r>
      <w:r w:rsidRPr="009C109B">
        <w:rPr>
          <w:rFonts w:asciiTheme="minorHAnsi" w:hAnsiTheme="minorHAnsi" w:cs="Calibri"/>
          <w:color w:val="auto"/>
        </w:rPr>
        <w:t>e is being established in Scotland so it can be considered at the UK level.</w:t>
      </w:r>
    </w:p>
    <w:p w14:paraId="7F4F345C" w14:textId="77777777" w:rsidR="001A5186" w:rsidRDefault="001A5186" w:rsidP="009C109B">
      <w:pPr>
        <w:rPr>
          <w:rFonts w:asciiTheme="minorHAnsi" w:hAnsiTheme="minorHAnsi"/>
          <w:sz w:val="24"/>
          <w:szCs w:val="24"/>
        </w:rPr>
      </w:pPr>
    </w:p>
    <w:p w14:paraId="72220FCF" w14:textId="77777777" w:rsidR="000A4553" w:rsidRDefault="000A4553">
      <w:pPr>
        <w:spacing w:after="160" w:line="259" w:lineRule="auto"/>
        <w:rPr>
          <w:rFonts w:asciiTheme="minorHAnsi" w:hAnsiTheme="minorHAnsi"/>
          <w:b/>
          <w:bCs/>
          <w:sz w:val="24"/>
          <w:szCs w:val="24"/>
          <w:u w:val="single"/>
        </w:rPr>
      </w:pPr>
      <w:r>
        <w:rPr>
          <w:rFonts w:asciiTheme="minorHAnsi" w:hAnsiTheme="minorHAnsi"/>
          <w:b/>
          <w:bCs/>
          <w:sz w:val="24"/>
          <w:szCs w:val="24"/>
          <w:u w:val="single"/>
        </w:rPr>
        <w:br w:type="page"/>
      </w:r>
    </w:p>
    <w:p w14:paraId="151934FB" w14:textId="3E20246C" w:rsidR="0036366C" w:rsidRPr="000A4553" w:rsidRDefault="0036366C" w:rsidP="00CE758D">
      <w:pPr>
        <w:keepNext/>
        <w:keepLines/>
        <w:rPr>
          <w:rFonts w:asciiTheme="minorHAnsi" w:hAnsiTheme="minorHAnsi"/>
          <w:b/>
          <w:bCs/>
          <w:sz w:val="24"/>
          <w:szCs w:val="24"/>
          <w:u w:val="single"/>
        </w:rPr>
      </w:pPr>
      <w:r w:rsidRPr="000A4553">
        <w:rPr>
          <w:rFonts w:asciiTheme="minorHAnsi" w:hAnsiTheme="minorHAnsi"/>
          <w:b/>
          <w:bCs/>
          <w:sz w:val="24"/>
          <w:szCs w:val="24"/>
          <w:u w:val="single"/>
        </w:rPr>
        <w:lastRenderedPageBreak/>
        <w:t xml:space="preserve">Migrant salary threshold and associated visa costs </w:t>
      </w:r>
    </w:p>
    <w:p w14:paraId="1F4354D9" w14:textId="77777777" w:rsidR="003D1F60" w:rsidRPr="009C109B" w:rsidRDefault="003D1F60" w:rsidP="00CE758D">
      <w:pPr>
        <w:keepNext/>
        <w:keepLines/>
        <w:rPr>
          <w:rFonts w:asciiTheme="minorHAnsi" w:hAnsiTheme="minorHAnsi"/>
          <w:sz w:val="24"/>
          <w:szCs w:val="24"/>
        </w:rPr>
      </w:pPr>
    </w:p>
    <w:p w14:paraId="0312491E" w14:textId="6BDB98DA" w:rsidR="0036366C" w:rsidRPr="009C109B" w:rsidRDefault="0036366C" w:rsidP="00CE758D">
      <w:pPr>
        <w:keepNext/>
        <w:keepLines/>
        <w:rPr>
          <w:rFonts w:asciiTheme="minorHAnsi" w:hAnsiTheme="minorHAnsi"/>
          <w:sz w:val="24"/>
          <w:szCs w:val="24"/>
        </w:rPr>
      </w:pPr>
      <w:r w:rsidRPr="009C109B">
        <w:rPr>
          <w:rFonts w:asciiTheme="minorHAnsi" w:hAnsiTheme="minorHAnsi"/>
          <w:sz w:val="24"/>
          <w:szCs w:val="24"/>
        </w:rPr>
        <w:t xml:space="preserve">The joint unions want to work together with UCEA to undertake the following work: </w:t>
      </w:r>
    </w:p>
    <w:p w14:paraId="51511C6A" w14:textId="77777777" w:rsidR="002F1499" w:rsidRPr="009C109B" w:rsidRDefault="002F1499" w:rsidP="00CE758D">
      <w:pPr>
        <w:keepNext/>
        <w:keepLines/>
        <w:rPr>
          <w:rFonts w:asciiTheme="minorHAnsi" w:hAnsiTheme="minorHAnsi"/>
          <w:sz w:val="24"/>
          <w:szCs w:val="24"/>
        </w:rPr>
      </w:pPr>
    </w:p>
    <w:p w14:paraId="6F8BC5C2" w14:textId="77777777" w:rsidR="0036366C" w:rsidRPr="009C109B" w:rsidRDefault="0036366C" w:rsidP="009C109B">
      <w:pPr>
        <w:rPr>
          <w:rFonts w:asciiTheme="minorHAnsi" w:hAnsiTheme="minorHAnsi"/>
          <w:sz w:val="24"/>
          <w:szCs w:val="24"/>
        </w:rPr>
      </w:pPr>
      <w:r w:rsidRPr="009C109B">
        <w:rPr>
          <w:rFonts w:asciiTheme="minorHAnsi" w:hAnsiTheme="minorHAnsi"/>
          <w:sz w:val="24"/>
          <w:szCs w:val="24"/>
        </w:rPr>
        <w:t xml:space="preserve">Call upon universities to reimburse all visa application and application-adjacent fees (e.g. Immigration Health Surcharge, biometrics fees, Life in the UK test fee) for migrant staff and their dependents on all visa categories. </w:t>
      </w:r>
    </w:p>
    <w:p w14:paraId="602E96B8" w14:textId="77777777" w:rsidR="0036366C" w:rsidRPr="009C109B" w:rsidRDefault="0036366C" w:rsidP="009C109B">
      <w:pPr>
        <w:rPr>
          <w:rFonts w:asciiTheme="minorHAnsi" w:hAnsiTheme="minorHAnsi"/>
          <w:sz w:val="24"/>
          <w:szCs w:val="24"/>
        </w:rPr>
      </w:pPr>
    </w:p>
    <w:p w14:paraId="7658E955" w14:textId="77777777" w:rsidR="0036366C" w:rsidRPr="009C109B" w:rsidRDefault="0036366C" w:rsidP="009C109B">
      <w:pPr>
        <w:rPr>
          <w:rFonts w:asciiTheme="minorHAnsi" w:hAnsiTheme="minorHAnsi"/>
          <w:sz w:val="24"/>
          <w:szCs w:val="24"/>
        </w:rPr>
      </w:pPr>
      <w:r w:rsidRPr="009C109B">
        <w:rPr>
          <w:rFonts w:asciiTheme="minorHAnsi" w:hAnsiTheme="minorHAnsi"/>
          <w:sz w:val="24"/>
          <w:szCs w:val="24"/>
        </w:rPr>
        <w:t xml:space="preserve">Ensure that any review of the pay spine is appropriate for the new government-mandated pay thresholds for skilled worker visas. The minimum salary points for jobs eligible for sponsorship should be above the new thresholds. </w:t>
      </w:r>
    </w:p>
    <w:p w14:paraId="79D43C4C" w14:textId="77777777" w:rsidR="00B50D7B" w:rsidRPr="006C29C0" w:rsidRDefault="00B50D7B" w:rsidP="009C109B">
      <w:pPr>
        <w:rPr>
          <w:rFonts w:asciiTheme="minorHAnsi" w:hAnsiTheme="minorHAnsi"/>
          <w:sz w:val="24"/>
          <w:szCs w:val="24"/>
        </w:rPr>
      </w:pPr>
    </w:p>
    <w:sectPr w:rsidR="00B50D7B" w:rsidRPr="006C29C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2B96D" w14:textId="77777777" w:rsidR="00642A41" w:rsidRDefault="00642A41" w:rsidP="00D50504">
      <w:r>
        <w:separator/>
      </w:r>
    </w:p>
  </w:endnote>
  <w:endnote w:type="continuationSeparator" w:id="0">
    <w:p w14:paraId="68C6A0D6" w14:textId="77777777" w:rsidR="00642A41" w:rsidRDefault="00642A41" w:rsidP="00D505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Helvetica Now Text Light">
    <w:altName w:val="Arial"/>
    <w:panose1 w:val="00000000000000000000"/>
    <w:charset w:val="00"/>
    <w:family w:val="swiss"/>
    <w:notTrueType/>
    <w:pitch w:val="variable"/>
    <w:sig w:usb0="A000006F" w:usb1="00008471" w:usb2="00000000" w:usb3="00000000" w:csb0="00000093" w:csb1="00000000"/>
  </w:font>
  <w:font w:name="Minion Pro">
    <w:altName w:val="Cambria"/>
    <w:panose1 w:val="02040503050201020203"/>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2DD96" w14:textId="77777777" w:rsidR="00642A41" w:rsidRDefault="00642A41" w:rsidP="00D50504">
      <w:r>
        <w:separator/>
      </w:r>
    </w:p>
  </w:footnote>
  <w:footnote w:type="continuationSeparator" w:id="0">
    <w:p w14:paraId="1A713E5A" w14:textId="77777777" w:rsidR="00642A41" w:rsidRDefault="00642A41" w:rsidP="00D50504">
      <w:r>
        <w:continuationSeparator/>
      </w:r>
    </w:p>
  </w:footnote>
  <w:footnote w:id="1">
    <w:p w14:paraId="11E08206" w14:textId="77777777" w:rsidR="008C51E9" w:rsidRPr="00C9200B" w:rsidRDefault="008C51E9" w:rsidP="008C51E9">
      <w:pPr>
        <w:pStyle w:val="FootnoteText"/>
        <w:rPr>
          <w:sz w:val="16"/>
          <w:szCs w:val="16"/>
        </w:rPr>
      </w:pPr>
      <w:r w:rsidRPr="00C9200B">
        <w:rPr>
          <w:rStyle w:val="FootnoteReference"/>
          <w:sz w:val="16"/>
          <w:szCs w:val="16"/>
        </w:rPr>
        <w:footnoteRef/>
      </w:r>
      <w:r w:rsidRPr="00C9200B">
        <w:rPr>
          <w:sz w:val="16"/>
          <w:szCs w:val="16"/>
        </w:rPr>
        <w:t xml:space="preserve"> </w:t>
      </w:r>
      <w:r w:rsidRPr="00C9200B">
        <w:rPr>
          <w:rFonts w:asciiTheme="minorHAnsi" w:hAnsiTheme="minorHAnsi" w:cstheme="minorHAnsi"/>
          <w:sz w:val="16"/>
          <w:szCs w:val="16"/>
        </w:rPr>
        <w:t>Office for National Statistics, Consumer Price Inflation Reference Tables, December 202</w:t>
      </w:r>
      <w:r>
        <w:rPr>
          <w:rFonts w:asciiTheme="minorHAnsi" w:hAnsiTheme="minorHAnsi" w:cstheme="minorHAnsi"/>
          <w:sz w:val="16"/>
          <w:szCs w:val="16"/>
        </w:rPr>
        <w:t>4</w:t>
      </w:r>
    </w:p>
  </w:footnote>
  <w:footnote w:id="2">
    <w:p w14:paraId="618C26F9" w14:textId="3642A591" w:rsidR="0031669A" w:rsidRPr="00B52339" w:rsidRDefault="0031669A" w:rsidP="0031669A">
      <w:pPr>
        <w:rPr>
          <w:sz w:val="16"/>
          <w:szCs w:val="16"/>
        </w:rPr>
      </w:pPr>
      <w:r w:rsidRPr="00B52339">
        <w:rPr>
          <w:rStyle w:val="FootnoteReference"/>
          <w:sz w:val="16"/>
          <w:szCs w:val="16"/>
        </w:rPr>
        <w:footnoteRef/>
      </w:r>
      <w:r w:rsidRPr="00B52339">
        <w:rPr>
          <w:sz w:val="16"/>
          <w:szCs w:val="16"/>
        </w:rPr>
        <w:t xml:space="preserve"> </w:t>
      </w:r>
      <w:r w:rsidRPr="00B52339">
        <w:rPr>
          <w:rFonts w:cstheme="minorHAnsi"/>
          <w:noProof/>
          <w:color w:val="000000"/>
          <w:sz w:val="16"/>
          <w:szCs w:val="16"/>
        </w:rPr>
        <w:t xml:space="preserve">Office for National Statistics, UK Consumer Price Inflation, </w:t>
      </w:r>
      <w:r w:rsidR="00F34535">
        <w:rPr>
          <w:rFonts w:cstheme="minorHAnsi"/>
          <w:noProof/>
          <w:color w:val="000000"/>
          <w:sz w:val="16"/>
          <w:szCs w:val="16"/>
        </w:rPr>
        <w:t>January</w:t>
      </w:r>
      <w:r w:rsidRPr="00B52339">
        <w:rPr>
          <w:rFonts w:cstheme="minorHAnsi"/>
          <w:noProof/>
          <w:color w:val="000000"/>
          <w:sz w:val="16"/>
          <w:szCs w:val="16"/>
        </w:rPr>
        <w:t xml:space="preserve"> 202</w:t>
      </w:r>
      <w:r w:rsidR="00F34535">
        <w:rPr>
          <w:rFonts w:cstheme="minorHAnsi"/>
          <w:noProof/>
          <w:color w:val="000000"/>
          <w:sz w:val="16"/>
          <w:szCs w:val="16"/>
        </w:rPr>
        <w:t>5</w:t>
      </w:r>
    </w:p>
  </w:footnote>
  <w:footnote w:id="3">
    <w:p w14:paraId="58C009AE" w14:textId="5DF28198" w:rsidR="0031669A" w:rsidRPr="00B52339" w:rsidRDefault="0031669A" w:rsidP="0031669A">
      <w:pPr>
        <w:pStyle w:val="FootnoteText"/>
      </w:pPr>
      <w:r w:rsidRPr="00B52339">
        <w:rPr>
          <w:rStyle w:val="FootnoteReference"/>
          <w:sz w:val="16"/>
          <w:szCs w:val="16"/>
        </w:rPr>
        <w:footnoteRef/>
      </w:r>
      <w:r w:rsidRPr="00B52339">
        <w:rPr>
          <w:sz w:val="16"/>
          <w:szCs w:val="16"/>
        </w:rPr>
        <w:t xml:space="preserve"> Office for National Statistics, Private Rent and House Prices UK, </w:t>
      </w:r>
      <w:r w:rsidR="00F34535">
        <w:rPr>
          <w:sz w:val="16"/>
          <w:szCs w:val="16"/>
        </w:rPr>
        <w:t>Febr</w:t>
      </w:r>
      <w:r>
        <w:rPr>
          <w:sz w:val="16"/>
          <w:szCs w:val="16"/>
        </w:rPr>
        <w:t>uary 2025</w:t>
      </w:r>
    </w:p>
  </w:footnote>
  <w:footnote w:id="4">
    <w:p w14:paraId="5A402F47" w14:textId="77777777" w:rsidR="0031669A" w:rsidRPr="00725310" w:rsidRDefault="0031669A" w:rsidP="0031669A">
      <w:pPr>
        <w:pStyle w:val="FootnoteText"/>
        <w:rPr>
          <w:sz w:val="16"/>
          <w:szCs w:val="16"/>
        </w:rPr>
      </w:pPr>
      <w:r w:rsidRPr="00725310">
        <w:rPr>
          <w:rStyle w:val="FootnoteReference"/>
          <w:sz w:val="16"/>
          <w:szCs w:val="16"/>
        </w:rPr>
        <w:footnoteRef/>
      </w:r>
      <w:r w:rsidRPr="00725310">
        <w:rPr>
          <w:sz w:val="16"/>
          <w:szCs w:val="16"/>
        </w:rPr>
        <w:t xml:space="preserve"> Cornwall Insight, Forecast for Price Cap, </w:t>
      </w:r>
      <w:r>
        <w:rPr>
          <w:sz w:val="16"/>
          <w:szCs w:val="16"/>
        </w:rPr>
        <w:t>November</w:t>
      </w:r>
      <w:r w:rsidRPr="00725310">
        <w:rPr>
          <w:sz w:val="16"/>
          <w:szCs w:val="16"/>
        </w:rPr>
        <w:t xml:space="preserve"> 2024</w:t>
      </w:r>
    </w:p>
  </w:footnote>
  <w:footnote w:id="5">
    <w:p w14:paraId="6B62932D" w14:textId="23827C17" w:rsidR="0031669A" w:rsidRPr="00B52339" w:rsidRDefault="0031669A" w:rsidP="0031669A">
      <w:pPr>
        <w:rPr>
          <w:sz w:val="16"/>
          <w:szCs w:val="16"/>
        </w:rPr>
      </w:pPr>
      <w:r w:rsidRPr="00B52339">
        <w:rPr>
          <w:rStyle w:val="FootnoteReference"/>
          <w:sz w:val="16"/>
          <w:szCs w:val="16"/>
        </w:rPr>
        <w:footnoteRef/>
      </w:r>
      <w:r w:rsidRPr="00B52339">
        <w:rPr>
          <w:sz w:val="16"/>
          <w:szCs w:val="16"/>
        </w:rPr>
        <w:t xml:space="preserve"> </w:t>
      </w:r>
      <w:r w:rsidRPr="00B52339">
        <w:rPr>
          <w:rFonts w:cstheme="minorHAnsi"/>
          <w:noProof/>
          <w:color w:val="000000"/>
          <w:sz w:val="16"/>
          <w:szCs w:val="16"/>
        </w:rPr>
        <w:t xml:space="preserve">Office for National Statistics, UK Consumer Price Inflation, </w:t>
      </w:r>
      <w:r w:rsidR="00F57A78">
        <w:rPr>
          <w:rFonts w:cstheme="minorHAnsi"/>
          <w:noProof/>
          <w:color w:val="000000"/>
          <w:sz w:val="16"/>
          <w:szCs w:val="16"/>
        </w:rPr>
        <w:t>January</w:t>
      </w:r>
      <w:r w:rsidRPr="00B52339">
        <w:rPr>
          <w:rFonts w:cstheme="minorHAnsi"/>
          <w:noProof/>
          <w:color w:val="000000"/>
          <w:sz w:val="16"/>
          <w:szCs w:val="16"/>
        </w:rPr>
        <w:t xml:space="preserve"> 2024</w:t>
      </w:r>
    </w:p>
  </w:footnote>
  <w:footnote w:id="6">
    <w:p w14:paraId="2F385268" w14:textId="77777777" w:rsidR="00665E80" w:rsidRDefault="00665E80" w:rsidP="00665E80">
      <w:pPr>
        <w:pStyle w:val="FootnoteText"/>
      </w:pPr>
      <w:r>
        <w:rPr>
          <w:rStyle w:val="FootnoteReference"/>
        </w:rPr>
        <w:footnoteRef/>
      </w:r>
      <w:r>
        <w:t xml:space="preserve"> </w:t>
      </w:r>
      <w:r w:rsidRPr="00CE565B">
        <w:rPr>
          <w:rFonts w:cstheme="minorHAnsi"/>
          <w:noProof/>
          <w:color w:val="000000"/>
          <w:sz w:val="16"/>
          <w:szCs w:val="16"/>
        </w:rPr>
        <w:t>Office for National Statistics, UK Consumer Price Inflation</w:t>
      </w:r>
      <w:r>
        <w:rPr>
          <w:rFonts w:cstheme="minorHAnsi"/>
          <w:noProof/>
          <w:color w:val="000000"/>
          <w:sz w:val="16"/>
          <w:szCs w:val="16"/>
        </w:rPr>
        <w:t xml:space="preserve"> Tables, December 2024,</w:t>
      </w:r>
      <w:r w:rsidRPr="00CE565B">
        <w:rPr>
          <w:rFonts w:cstheme="minorHAnsi"/>
          <w:noProof/>
          <w:color w:val="000000"/>
          <w:sz w:val="16"/>
          <w:szCs w:val="16"/>
        </w:rPr>
        <w:t xml:space="preserve"> </w:t>
      </w:r>
      <w:r>
        <w:rPr>
          <w:rFonts w:cstheme="minorHAnsi"/>
          <w:noProof/>
          <w:color w:val="000000"/>
          <w:sz w:val="16"/>
          <w:szCs w:val="16"/>
        </w:rPr>
        <w:t xml:space="preserve">for bus /coach, electricity and gas prices, HM Land Registry Index, </w:t>
      </w:r>
      <w:r>
        <w:rPr>
          <w:sz w:val="16"/>
          <w:szCs w:val="16"/>
        </w:rPr>
        <w:t>House Price Index, November 2024 for house prices</w:t>
      </w:r>
    </w:p>
  </w:footnote>
  <w:footnote w:id="7">
    <w:p w14:paraId="46B3A371" w14:textId="3CC6DD2F" w:rsidR="007F38A1" w:rsidRPr="007F38A1" w:rsidRDefault="007F38A1">
      <w:pPr>
        <w:pStyle w:val="FootnoteText"/>
        <w:rPr>
          <w:rFonts w:ascii="Calibri" w:hAnsi="Calibri" w:cs="Calibri"/>
          <w:sz w:val="16"/>
          <w:szCs w:val="16"/>
        </w:rPr>
      </w:pPr>
      <w:r w:rsidRPr="007F38A1">
        <w:rPr>
          <w:rStyle w:val="FootnoteReference"/>
          <w:rFonts w:ascii="Calibri" w:hAnsi="Calibri" w:cs="Calibri"/>
          <w:sz w:val="16"/>
          <w:szCs w:val="16"/>
        </w:rPr>
        <w:footnoteRef/>
      </w:r>
      <w:r w:rsidRPr="007F38A1">
        <w:rPr>
          <w:rFonts w:ascii="Calibri" w:hAnsi="Calibri" w:cs="Calibri"/>
          <w:sz w:val="16"/>
          <w:szCs w:val="16"/>
        </w:rPr>
        <w:t xml:space="preserve"> HM Treasury, Forecasts for the UK Economy, </w:t>
      </w:r>
      <w:r w:rsidR="00F57A78">
        <w:rPr>
          <w:rFonts w:ascii="Calibri" w:hAnsi="Calibri" w:cs="Calibri"/>
          <w:sz w:val="16"/>
          <w:szCs w:val="16"/>
        </w:rPr>
        <w:t>February 2025</w:t>
      </w:r>
    </w:p>
  </w:footnote>
  <w:footnote w:id="8">
    <w:p w14:paraId="2337C65B" w14:textId="77777777" w:rsidR="0031669A" w:rsidRDefault="0031669A" w:rsidP="0031669A">
      <w:pPr>
        <w:pStyle w:val="FootnoteText"/>
      </w:pPr>
      <w:r>
        <w:rPr>
          <w:rStyle w:val="FootnoteReference"/>
        </w:rPr>
        <w:footnoteRef/>
      </w:r>
      <w:r>
        <w:t xml:space="preserve"> </w:t>
      </w:r>
      <w:r w:rsidRPr="00CE565B">
        <w:rPr>
          <w:rFonts w:cstheme="minorHAnsi"/>
          <w:noProof/>
          <w:color w:val="000000"/>
          <w:sz w:val="16"/>
          <w:szCs w:val="16"/>
        </w:rPr>
        <w:t xml:space="preserve">Office for National Statistics, </w:t>
      </w:r>
      <w:r w:rsidRPr="009D1FE5">
        <w:rPr>
          <w:sz w:val="16"/>
          <w:szCs w:val="16"/>
        </w:rPr>
        <w:t xml:space="preserve">Labour Market Overview, </w:t>
      </w:r>
      <w:r>
        <w:rPr>
          <w:sz w:val="16"/>
          <w:szCs w:val="16"/>
        </w:rPr>
        <w:t>January 2025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64DCB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3CC137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9D015CE"/>
    <w:multiLevelType w:val="multilevel"/>
    <w:tmpl w:val="43628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107264"/>
    <w:multiLevelType w:val="multilevel"/>
    <w:tmpl w:val="88A470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E40087E"/>
    <w:multiLevelType w:val="hybridMultilevel"/>
    <w:tmpl w:val="0C4E4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934044"/>
    <w:multiLevelType w:val="hybridMultilevel"/>
    <w:tmpl w:val="79F2C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06DC4"/>
    <w:multiLevelType w:val="hybridMultilevel"/>
    <w:tmpl w:val="8C449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7E7015"/>
    <w:multiLevelType w:val="hybridMultilevel"/>
    <w:tmpl w:val="856276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64377D7"/>
    <w:multiLevelType w:val="hybridMultilevel"/>
    <w:tmpl w:val="940AD8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AC9780"/>
    <w:multiLevelType w:val="hybridMultilevel"/>
    <w:tmpl w:val="C734CC8E"/>
    <w:lvl w:ilvl="0" w:tplc="168E8B06">
      <w:start w:val="1"/>
      <w:numFmt w:val="bullet"/>
      <w:lvlText w:val=""/>
      <w:lvlJc w:val="left"/>
      <w:pPr>
        <w:ind w:left="720" w:hanging="360"/>
      </w:pPr>
      <w:rPr>
        <w:rFonts w:ascii="Symbol" w:hAnsi="Symbol" w:hint="default"/>
      </w:rPr>
    </w:lvl>
    <w:lvl w:ilvl="1" w:tplc="F6280AAC">
      <w:start w:val="1"/>
      <w:numFmt w:val="bullet"/>
      <w:lvlText w:val="o"/>
      <w:lvlJc w:val="left"/>
      <w:pPr>
        <w:ind w:left="1440" w:hanging="360"/>
      </w:pPr>
      <w:rPr>
        <w:rFonts w:ascii="Courier New" w:hAnsi="Courier New" w:hint="default"/>
      </w:rPr>
    </w:lvl>
    <w:lvl w:ilvl="2" w:tplc="BC1E4676">
      <w:start w:val="1"/>
      <w:numFmt w:val="bullet"/>
      <w:lvlText w:val=""/>
      <w:lvlJc w:val="left"/>
      <w:pPr>
        <w:ind w:left="2160" w:hanging="360"/>
      </w:pPr>
      <w:rPr>
        <w:rFonts w:ascii="Wingdings" w:hAnsi="Wingdings" w:hint="default"/>
      </w:rPr>
    </w:lvl>
    <w:lvl w:ilvl="3" w:tplc="8F6A5C72">
      <w:start w:val="1"/>
      <w:numFmt w:val="bullet"/>
      <w:lvlText w:val=""/>
      <w:lvlJc w:val="left"/>
      <w:pPr>
        <w:ind w:left="2880" w:hanging="360"/>
      </w:pPr>
      <w:rPr>
        <w:rFonts w:ascii="Symbol" w:hAnsi="Symbol" w:hint="default"/>
      </w:rPr>
    </w:lvl>
    <w:lvl w:ilvl="4" w:tplc="DF4CFA40">
      <w:start w:val="1"/>
      <w:numFmt w:val="bullet"/>
      <w:lvlText w:val="o"/>
      <w:lvlJc w:val="left"/>
      <w:pPr>
        <w:ind w:left="3600" w:hanging="360"/>
      </w:pPr>
      <w:rPr>
        <w:rFonts w:ascii="Courier New" w:hAnsi="Courier New" w:hint="default"/>
      </w:rPr>
    </w:lvl>
    <w:lvl w:ilvl="5" w:tplc="FE8257AC">
      <w:start w:val="1"/>
      <w:numFmt w:val="bullet"/>
      <w:lvlText w:val=""/>
      <w:lvlJc w:val="left"/>
      <w:pPr>
        <w:ind w:left="4320" w:hanging="360"/>
      </w:pPr>
      <w:rPr>
        <w:rFonts w:ascii="Wingdings" w:hAnsi="Wingdings" w:hint="default"/>
      </w:rPr>
    </w:lvl>
    <w:lvl w:ilvl="6" w:tplc="D6B4715C">
      <w:start w:val="1"/>
      <w:numFmt w:val="bullet"/>
      <w:lvlText w:val=""/>
      <w:lvlJc w:val="left"/>
      <w:pPr>
        <w:ind w:left="5040" w:hanging="360"/>
      </w:pPr>
      <w:rPr>
        <w:rFonts w:ascii="Symbol" w:hAnsi="Symbol" w:hint="default"/>
      </w:rPr>
    </w:lvl>
    <w:lvl w:ilvl="7" w:tplc="7292C3B6">
      <w:start w:val="1"/>
      <w:numFmt w:val="bullet"/>
      <w:lvlText w:val="o"/>
      <w:lvlJc w:val="left"/>
      <w:pPr>
        <w:ind w:left="5760" w:hanging="360"/>
      </w:pPr>
      <w:rPr>
        <w:rFonts w:ascii="Courier New" w:hAnsi="Courier New" w:hint="default"/>
      </w:rPr>
    </w:lvl>
    <w:lvl w:ilvl="8" w:tplc="D2E676F6">
      <w:start w:val="1"/>
      <w:numFmt w:val="bullet"/>
      <w:lvlText w:val=""/>
      <w:lvlJc w:val="left"/>
      <w:pPr>
        <w:ind w:left="6480" w:hanging="360"/>
      </w:pPr>
      <w:rPr>
        <w:rFonts w:ascii="Wingdings" w:hAnsi="Wingdings" w:hint="default"/>
      </w:rPr>
    </w:lvl>
  </w:abstractNum>
  <w:abstractNum w:abstractNumId="10" w15:restartNumberingAfterBreak="0">
    <w:nsid w:val="41552AB3"/>
    <w:multiLevelType w:val="hybridMultilevel"/>
    <w:tmpl w:val="88EE8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17B2C7"/>
    <w:multiLevelType w:val="hybridMultilevel"/>
    <w:tmpl w:val="FFFFFFFF"/>
    <w:lvl w:ilvl="0" w:tplc="AFC493F0">
      <w:start w:val="1"/>
      <w:numFmt w:val="bullet"/>
      <w:lvlText w:val="o"/>
      <w:lvlJc w:val="left"/>
      <w:pPr>
        <w:ind w:left="1080" w:hanging="360"/>
      </w:pPr>
      <w:rPr>
        <w:rFonts w:ascii="Courier New" w:hAnsi="Courier New" w:hint="default"/>
      </w:rPr>
    </w:lvl>
    <w:lvl w:ilvl="1" w:tplc="0942778E">
      <w:start w:val="1"/>
      <w:numFmt w:val="bullet"/>
      <w:lvlText w:val="o"/>
      <w:lvlJc w:val="left"/>
      <w:pPr>
        <w:ind w:left="1800" w:hanging="360"/>
      </w:pPr>
      <w:rPr>
        <w:rFonts w:ascii="Courier New" w:hAnsi="Courier New" w:hint="default"/>
      </w:rPr>
    </w:lvl>
    <w:lvl w:ilvl="2" w:tplc="025CE2BA">
      <w:start w:val="1"/>
      <w:numFmt w:val="bullet"/>
      <w:lvlText w:val=""/>
      <w:lvlJc w:val="left"/>
      <w:pPr>
        <w:ind w:left="2520" w:hanging="360"/>
      </w:pPr>
      <w:rPr>
        <w:rFonts w:ascii="Wingdings" w:hAnsi="Wingdings" w:hint="default"/>
      </w:rPr>
    </w:lvl>
    <w:lvl w:ilvl="3" w:tplc="B9C2EF48">
      <w:start w:val="1"/>
      <w:numFmt w:val="bullet"/>
      <w:lvlText w:val=""/>
      <w:lvlJc w:val="left"/>
      <w:pPr>
        <w:ind w:left="3240" w:hanging="360"/>
      </w:pPr>
      <w:rPr>
        <w:rFonts w:ascii="Symbol" w:hAnsi="Symbol" w:hint="default"/>
      </w:rPr>
    </w:lvl>
    <w:lvl w:ilvl="4" w:tplc="2A30E4B8">
      <w:start w:val="1"/>
      <w:numFmt w:val="bullet"/>
      <w:lvlText w:val="o"/>
      <w:lvlJc w:val="left"/>
      <w:pPr>
        <w:ind w:left="3960" w:hanging="360"/>
      </w:pPr>
      <w:rPr>
        <w:rFonts w:ascii="Courier New" w:hAnsi="Courier New" w:hint="default"/>
      </w:rPr>
    </w:lvl>
    <w:lvl w:ilvl="5" w:tplc="EA2AF374">
      <w:start w:val="1"/>
      <w:numFmt w:val="bullet"/>
      <w:lvlText w:val=""/>
      <w:lvlJc w:val="left"/>
      <w:pPr>
        <w:ind w:left="4680" w:hanging="360"/>
      </w:pPr>
      <w:rPr>
        <w:rFonts w:ascii="Wingdings" w:hAnsi="Wingdings" w:hint="default"/>
      </w:rPr>
    </w:lvl>
    <w:lvl w:ilvl="6" w:tplc="2A5A3572">
      <w:start w:val="1"/>
      <w:numFmt w:val="bullet"/>
      <w:lvlText w:val=""/>
      <w:lvlJc w:val="left"/>
      <w:pPr>
        <w:ind w:left="5400" w:hanging="360"/>
      </w:pPr>
      <w:rPr>
        <w:rFonts w:ascii="Symbol" w:hAnsi="Symbol" w:hint="default"/>
      </w:rPr>
    </w:lvl>
    <w:lvl w:ilvl="7" w:tplc="AE42890A">
      <w:start w:val="1"/>
      <w:numFmt w:val="bullet"/>
      <w:lvlText w:val="o"/>
      <w:lvlJc w:val="left"/>
      <w:pPr>
        <w:ind w:left="6120" w:hanging="360"/>
      </w:pPr>
      <w:rPr>
        <w:rFonts w:ascii="Courier New" w:hAnsi="Courier New" w:hint="default"/>
      </w:rPr>
    </w:lvl>
    <w:lvl w:ilvl="8" w:tplc="BE72A67E">
      <w:start w:val="1"/>
      <w:numFmt w:val="bullet"/>
      <w:lvlText w:val=""/>
      <w:lvlJc w:val="left"/>
      <w:pPr>
        <w:ind w:left="6840" w:hanging="360"/>
      </w:pPr>
      <w:rPr>
        <w:rFonts w:ascii="Wingdings" w:hAnsi="Wingdings" w:hint="default"/>
      </w:rPr>
    </w:lvl>
  </w:abstractNum>
  <w:abstractNum w:abstractNumId="12" w15:restartNumberingAfterBreak="0">
    <w:nsid w:val="529A1B34"/>
    <w:multiLevelType w:val="hybridMultilevel"/>
    <w:tmpl w:val="9AC6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E85EF2"/>
    <w:multiLevelType w:val="hybridMultilevel"/>
    <w:tmpl w:val="3BC4526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2CC677D"/>
    <w:multiLevelType w:val="multilevel"/>
    <w:tmpl w:val="EAFC43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5176A64"/>
    <w:multiLevelType w:val="hybridMultilevel"/>
    <w:tmpl w:val="9F5E6C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DCA2980"/>
    <w:multiLevelType w:val="hybridMultilevel"/>
    <w:tmpl w:val="B784B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20177E"/>
    <w:multiLevelType w:val="hybridMultilevel"/>
    <w:tmpl w:val="EF1A41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BE48BA"/>
    <w:multiLevelType w:val="hybridMultilevel"/>
    <w:tmpl w:val="8FA66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220043D"/>
    <w:multiLevelType w:val="multilevel"/>
    <w:tmpl w:val="90800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5C19E84"/>
    <w:multiLevelType w:val="hybridMultilevel"/>
    <w:tmpl w:val="FFFFFFFF"/>
    <w:lvl w:ilvl="0" w:tplc="B754A88C">
      <w:start w:val="1"/>
      <w:numFmt w:val="bullet"/>
      <w:lvlText w:val=""/>
      <w:lvlJc w:val="left"/>
      <w:pPr>
        <w:ind w:left="720" w:hanging="360"/>
      </w:pPr>
      <w:rPr>
        <w:rFonts w:ascii="Symbol" w:hAnsi="Symbol" w:hint="default"/>
      </w:rPr>
    </w:lvl>
    <w:lvl w:ilvl="1" w:tplc="9B2EDB4E">
      <w:start w:val="1"/>
      <w:numFmt w:val="bullet"/>
      <w:lvlText w:val="o"/>
      <w:lvlJc w:val="left"/>
      <w:pPr>
        <w:ind w:left="1440" w:hanging="360"/>
      </w:pPr>
      <w:rPr>
        <w:rFonts w:ascii="Courier New" w:hAnsi="Courier New" w:hint="default"/>
      </w:rPr>
    </w:lvl>
    <w:lvl w:ilvl="2" w:tplc="BFF841F2">
      <w:start w:val="1"/>
      <w:numFmt w:val="bullet"/>
      <w:lvlText w:val=""/>
      <w:lvlJc w:val="left"/>
      <w:pPr>
        <w:ind w:left="2160" w:hanging="360"/>
      </w:pPr>
      <w:rPr>
        <w:rFonts w:ascii="Wingdings" w:hAnsi="Wingdings" w:hint="default"/>
      </w:rPr>
    </w:lvl>
    <w:lvl w:ilvl="3" w:tplc="48347282">
      <w:start w:val="1"/>
      <w:numFmt w:val="bullet"/>
      <w:lvlText w:val=""/>
      <w:lvlJc w:val="left"/>
      <w:pPr>
        <w:ind w:left="2880" w:hanging="360"/>
      </w:pPr>
      <w:rPr>
        <w:rFonts w:ascii="Symbol" w:hAnsi="Symbol" w:hint="default"/>
      </w:rPr>
    </w:lvl>
    <w:lvl w:ilvl="4" w:tplc="526089FE">
      <w:start w:val="1"/>
      <w:numFmt w:val="bullet"/>
      <w:lvlText w:val="o"/>
      <w:lvlJc w:val="left"/>
      <w:pPr>
        <w:ind w:left="3600" w:hanging="360"/>
      </w:pPr>
      <w:rPr>
        <w:rFonts w:ascii="Courier New" w:hAnsi="Courier New" w:hint="default"/>
      </w:rPr>
    </w:lvl>
    <w:lvl w:ilvl="5" w:tplc="44B0A652">
      <w:start w:val="1"/>
      <w:numFmt w:val="bullet"/>
      <w:lvlText w:val=""/>
      <w:lvlJc w:val="left"/>
      <w:pPr>
        <w:ind w:left="4320" w:hanging="360"/>
      </w:pPr>
      <w:rPr>
        <w:rFonts w:ascii="Wingdings" w:hAnsi="Wingdings" w:hint="default"/>
      </w:rPr>
    </w:lvl>
    <w:lvl w:ilvl="6" w:tplc="083889A8">
      <w:start w:val="1"/>
      <w:numFmt w:val="bullet"/>
      <w:lvlText w:val=""/>
      <w:lvlJc w:val="left"/>
      <w:pPr>
        <w:ind w:left="5040" w:hanging="360"/>
      </w:pPr>
      <w:rPr>
        <w:rFonts w:ascii="Symbol" w:hAnsi="Symbol" w:hint="default"/>
      </w:rPr>
    </w:lvl>
    <w:lvl w:ilvl="7" w:tplc="784435C6">
      <w:start w:val="1"/>
      <w:numFmt w:val="bullet"/>
      <w:lvlText w:val="o"/>
      <w:lvlJc w:val="left"/>
      <w:pPr>
        <w:ind w:left="5760" w:hanging="360"/>
      </w:pPr>
      <w:rPr>
        <w:rFonts w:ascii="Courier New" w:hAnsi="Courier New" w:hint="default"/>
      </w:rPr>
    </w:lvl>
    <w:lvl w:ilvl="8" w:tplc="46E2A4F8">
      <w:start w:val="1"/>
      <w:numFmt w:val="bullet"/>
      <w:lvlText w:val=""/>
      <w:lvlJc w:val="left"/>
      <w:pPr>
        <w:ind w:left="6480" w:hanging="360"/>
      </w:pPr>
      <w:rPr>
        <w:rFonts w:ascii="Wingdings" w:hAnsi="Wingdings" w:hint="default"/>
      </w:rPr>
    </w:lvl>
  </w:abstractNum>
  <w:abstractNum w:abstractNumId="21" w15:restartNumberingAfterBreak="0">
    <w:nsid w:val="7BD8692C"/>
    <w:multiLevelType w:val="multilevel"/>
    <w:tmpl w:val="2D1C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47126587">
    <w:abstractNumId w:val="16"/>
  </w:num>
  <w:num w:numId="2" w16cid:durableId="1005590098">
    <w:abstractNumId w:val="17"/>
  </w:num>
  <w:num w:numId="3" w16cid:durableId="1254628004">
    <w:abstractNumId w:val="4"/>
  </w:num>
  <w:num w:numId="4" w16cid:durableId="791097725">
    <w:abstractNumId w:val="12"/>
  </w:num>
  <w:num w:numId="5" w16cid:durableId="400059213">
    <w:abstractNumId w:val="6"/>
  </w:num>
  <w:num w:numId="6" w16cid:durableId="484246552">
    <w:abstractNumId w:val="5"/>
  </w:num>
  <w:num w:numId="7" w16cid:durableId="613102536">
    <w:abstractNumId w:val="7"/>
  </w:num>
  <w:num w:numId="8" w16cid:durableId="1365908449">
    <w:abstractNumId w:val="10"/>
  </w:num>
  <w:num w:numId="9" w16cid:durableId="1307660662">
    <w:abstractNumId w:val="18"/>
  </w:num>
  <w:num w:numId="10" w16cid:durableId="632638694">
    <w:abstractNumId w:val="8"/>
  </w:num>
  <w:num w:numId="11" w16cid:durableId="1323776957">
    <w:abstractNumId w:val="11"/>
  </w:num>
  <w:num w:numId="12" w16cid:durableId="1140149967">
    <w:abstractNumId w:val="20"/>
  </w:num>
  <w:num w:numId="13" w16cid:durableId="590239895">
    <w:abstractNumId w:val="9"/>
  </w:num>
  <w:num w:numId="14" w16cid:durableId="398868416">
    <w:abstractNumId w:val="3"/>
  </w:num>
  <w:num w:numId="15" w16cid:durableId="1596591147">
    <w:abstractNumId w:val="2"/>
  </w:num>
  <w:num w:numId="16" w16cid:durableId="1516387463">
    <w:abstractNumId w:val="14"/>
  </w:num>
  <w:num w:numId="17" w16cid:durableId="945187778">
    <w:abstractNumId w:val="19"/>
  </w:num>
  <w:num w:numId="18" w16cid:durableId="944461874">
    <w:abstractNumId w:val="21"/>
  </w:num>
  <w:num w:numId="19" w16cid:durableId="1207644069">
    <w:abstractNumId w:val="15"/>
  </w:num>
  <w:num w:numId="20" w16cid:durableId="854001365">
    <w:abstractNumId w:val="0"/>
  </w:num>
  <w:num w:numId="21" w16cid:durableId="1065906853">
    <w:abstractNumId w:val="1"/>
  </w:num>
  <w:num w:numId="22" w16cid:durableId="7116563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536"/>
    <w:rsid w:val="000074F7"/>
    <w:rsid w:val="00013EE5"/>
    <w:rsid w:val="000261B9"/>
    <w:rsid w:val="0003466C"/>
    <w:rsid w:val="0003468F"/>
    <w:rsid w:val="000433CC"/>
    <w:rsid w:val="0005311A"/>
    <w:rsid w:val="00057441"/>
    <w:rsid w:val="0006277C"/>
    <w:rsid w:val="00070A51"/>
    <w:rsid w:val="000712C8"/>
    <w:rsid w:val="00087BA4"/>
    <w:rsid w:val="000A4553"/>
    <w:rsid w:val="000A4B6A"/>
    <w:rsid w:val="000B3744"/>
    <w:rsid w:val="000B4BFB"/>
    <w:rsid w:val="000C1C44"/>
    <w:rsid w:val="000C50D6"/>
    <w:rsid w:val="000D48AF"/>
    <w:rsid w:val="000E1C21"/>
    <w:rsid w:val="000F0F3A"/>
    <w:rsid w:val="00103818"/>
    <w:rsid w:val="00110880"/>
    <w:rsid w:val="00121990"/>
    <w:rsid w:val="001234EC"/>
    <w:rsid w:val="00126DD7"/>
    <w:rsid w:val="0015387A"/>
    <w:rsid w:val="001560FC"/>
    <w:rsid w:val="00161110"/>
    <w:rsid w:val="00176453"/>
    <w:rsid w:val="001818A0"/>
    <w:rsid w:val="00183704"/>
    <w:rsid w:val="00192B85"/>
    <w:rsid w:val="00192E13"/>
    <w:rsid w:val="001A5186"/>
    <w:rsid w:val="001A676F"/>
    <w:rsid w:val="001A7E1A"/>
    <w:rsid w:val="001B13BC"/>
    <w:rsid w:val="001B17C9"/>
    <w:rsid w:val="001B301F"/>
    <w:rsid w:val="001C660B"/>
    <w:rsid w:val="001E33D2"/>
    <w:rsid w:val="001E3536"/>
    <w:rsid w:val="001E409C"/>
    <w:rsid w:val="001E5194"/>
    <w:rsid w:val="001F2A90"/>
    <w:rsid w:val="001F796B"/>
    <w:rsid w:val="00210D37"/>
    <w:rsid w:val="00225120"/>
    <w:rsid w:val="00227309"/>
    <w:rsid w:val="00237309"/>
    <w:rsid w:val="002463AD"/>
    <w:rsid w:val="00246599"/>
    <w:rsid w:val="00252F3D"/>
    <w:rsid w:val="00253A35"/>
    <w:rsid w:val="00264DC6"/>
    <w:rsid w:val="00265582"/>
    <w:rsid w:val="002706F1"/>
    <w:rsid w:val="00272D53"/>
    <w:rsid w:val="00276AB0"/>
    <w:rsid w:val="00277132"/>
    <w:rsid w:val="0028132F"/>
    <w:rsid w:val="0028676F"/>
    <w:rsid w:val="00295157"/>
    <w:rsid w:val="00297FE6"/>
    <w:rsid w:val="002A314E"/>
    <w:rsid w:val="002B7152"/>
    <w:rsid w:val="002C18AC"/>
    <w:rsid w:val="002C22E6"/>
    <w:rsid w:val="002C36A2"/>
    <w:rsid w:val="002C4242"/>
    <w:rsid w:val="002C64DA"/>
    <w:rsid w:val="002E5876"/>
    <w:rsid w:val="002F1499"/>
    <w:rsid w:val="002F21FA"/>
    <w:rsid w:val="002F67C3"/>
    <w:rsid w:val="003041CF"/>
    <w:rsid w:val="0031612F"/>
    <w:rsid w:val="0031669A"/>
    <w:rsid w:val="00322F96"/>
    <w:rsid w:val="0032775E"/>
    <w:rsid w:val="00345DE2"/>
    <w:rsid w:val="00346F4E"/>
    <w:rsid w:val="0034725D"/>
    <w:rsid w:val="00353267"/>
    <w:rsid w:val="00353798"/>
    <w:rsid w:val="00353D9A"/>
    <w:rsid w:val="003628AB"/>
    <w:rsid w:val="0036366C"/>
    <w:rsid w:val="00363B89"/>
    <w:rsid w:val="00376BAA"/>
    <w:rsid w:val="00390A7E"/>
    <w:rsid w:val="0039549F"/>
    <w:rsid w:val="003A1142"/>
    <w:rsid w:val="003A457A"/>
    <w:rsid w:val="003B5C5C"/>
    <w:rsid w:val="003C13EE"/>
    <w:rsid w:val="003C2E41"/>
    <w:rsid w:val="003C326F"/>
    <w:rsid w:val="003C4D1B"/>
    <w:rsid w:val="003D1F60"/>
    <w:rsid w:val="003D5E5B"/>
    <w:rsid w:val="003E2DDF"/>
    <w:rsid w:val="003E4822"/>
    <w:rsid w:val="003E77CC"/>
    <w:rsid w:val="00406DDF"/>
    <w:rsid w:val="00412795"/>
    <w:rsid w:val="004216DC"/>
    <w:rsid w:val="00437B21"/>
    <w:rsid w:val="00462C8B"/>
    <w:rsid w:val="004657C5"/>
    <w:rsid w:val="00490419"/>
    <w:rsid w:val="004A2FCF"/>
    <w:rsid w:val="004B5880"/>
    <w:rsid w:val="004C3CF8"/>
    <w:rsid w:val="004E0DBB"/>
    <w:rsid w:val="004E1960"/>
    <w:rsid w:val="004E371F"/>
    <w:rsid w:val="004E5F6A"/>
    <w:rsid w:val="00502710"/>
    <w:rsid w:val="00512385"/>
    <w:rsid w:val="0053282E"/>
    <w:rsid w:val="0054149B"/>
    <w:rsid w:val="00544620"/>
    <w:rsid w:val="005527CF"/>
    <w:rsid w:val="005556FB"/>
    <w:rsid w:val="00557DC7"/>
    <w:rsid w:val="00565C1C"/>
    <w:rsid w:val="00587170"/>
    <w:rsid w:val="00591D9C"/>
    <w:rsid w:val="005A3487"/>
    <w:rsid w:val="005A36ED"/>
    <w:rsid w:val="005A50EF"/>
    <w:rsid w:val="005A6862"/>
    <w:rsid w:val="005B23DD"/>
    <w:rsid w:val="005C2ED3"/>
    <w:rsid w:val="005D22C1"/>
    <w:rsid w:val="005D37C0"/>
    <w:rsid w:val="005E2A90"/>
    <w:rsid w:val="005E2C12"/>
    <w:rsid w:val="005E42B3"/>
    <w:rsid w:val="005E7ABB"/>
    <w:rsid w:val="005F5829"/>
    <w:rsid w:val="00604F4C"/>
    <w:rsid w:val="00615BD3"/>
    <w:rsid w:val="00616C02"/>
    <w:rsid w:val="006177CA"/>
    <w:rsid w:val="0062274B"/>
    <w:rsid w:val="00624B07"/>
    <w:rsid w:val="006261F8"/>
    <w:rsid w:val="00633395"/>
    <w:rsid w:val="00640EDA"/>
    <w:rsid w:val="00642A41"/>
    <w:rsid w:val="00652A74"/>
    <w:rsid w:val="006534A3"/>
    <w:rsid w:val="00662B9A"/>
    <w:rsid w:val="006654DE"/>
    <w:rsid w:val="00665E80"/>
    <w:rsid w:val="00673FAB"/>
    <w:rsid w:val="006769C9"/>
    <w:rsid w:val="006B5190"/>
    <w:rsid w:val="006B5BE6"/>
    <w:rsid w:val="006B6A02"/>
    <w:rsid w:val="006C2022"/>
    <w:rsid w:val="006C29C0"/>
    <w:rsid w:val="006D29F0"/>
    <w:rsid w:val="006D5CCD"/>
    <w:rsid w:val="006D5FFD"/>
    <w:rsid w:val="006E1B86"/>
    <w:rsid w:val="006E6D10"/>
    <w:rsid w:val="006F4C84"/>
    <w:rsid w:val="006F6F4D"/>
    <w:rsid w:val="00711C8E"/>
    <w:rsid w:val="0073621A"/>
    <w:rsid w:val="00741311"/>
    <w:rsid w:val="007439E7"/>
    <w:rsid w:val="00753F3B"/>
    <w:rsid w:val="007552BC"/>
    <w:rsid w:val="00756D75"/>
    <w:rsid w:val="0078245C"/>
    <w:rsid w:val="00785951"/>
    <w:rsid w:val="007953A7"/>
    <w:rsid w:val="007964D1"/>
    <w:rsid w:val="007A0A16"/>
    <w:rsid w:val="007A24DC"/>
    <w:rsid w:val="007B45FB"/>
    <w:rsid w:val="007B55CE"/>
    <w:rsid w:val="007C2245"/>
    <w:rsid w:val="007C6392"/>
    <w:rsid w:val="007C6A53"/>
    <w:rsid w:val="007D022D"/>
    <w:rsid w:val="007D0567"/>
    <w:rsid w:val="007D085B"/>
    <w:rsid w:val="007E1660"/>
    <w:rsid w:val="007E3FBC"/>
    <w:rsid w:val="007F38A1"/>
    <w:rsid w:val="0080661F"/>
    <w:rsid w:val="0080749D"/>
    <w:rsid w:val="00822A01"/>
    <w:rsid w:val="00823062"/>
    <w:rsid w:val="008234FD"/>
    <w:rsid w:val="00833684"/>
    <w:rsid w:val="008336CD"/>
    <w:rsid w:val="00834DCF"/>
    <w:rsid w:val="00846C69"/>
    <w:rsid w:val="00855F24"/>
    <w:rsid w:val="00856EB3"/>
    <w:rsid w:val="0086026C"/>
    <w:rsid w:val="00867592"/>
    <w:rsid w:val="008677DB"/>
    <w:rsid w:val="00871D0B"/>
    <w:rsid w:val="00882E0A"/>
    <w:rsid w:val="00885600"/>
    <w:rsid w:val="008B0054"/>
    <w:rsid w:val="008B3078"/>
    <w:rsid w:val="008C51E9"/>
    <w:rsid w:val="008D2902"/>
    <w:rsid w:val="008D4E89"/>
    <w:rsid w:val="008E01A9"/>
    <w:rsid w:val="008E3112"/>
    <w:rsid w:val="008E4004"/>
    <w:rsid w:val="008E4DE5"/>
    <w:rsid w:val="008E693B"/>
    <w:rsid w:val="008E6995"/>
    <w:rsid w:val="008F173B"/>
    <w:rsid w:val="008F69C0"/>
    <w:rsid w:val="00900E60"/>
    <w:rsid w:val="009064A1"/>
    <w:rsid w:val="009069D7"/>
    <w:rsid w:val="00906E79"/>
    <w:rsid w:val="00916C71"/>
    <w:rsid w:val="00923413"/>
    <w:rsid w:val="00935014"/>
    <w:rsid w:val="00937C18"/>
    <w:rsid w:val="00942F13"/>
    <w:rsid w:val="00970312"/>
    <w:rsid w:val="00972352"/>
    <w:rsid w:val="00995C28"/>
    <w:rsid w:val="009A2D0F"/>
    <w:rsid w:val="009B73B1"/>
    <w:rsid w:val="009C109B"/>
    <w:rsid w:val="009D35C3"/>
    <w:rsid w:val="009D40A0"/>
    <w:rsid w:val="009D65E9"/>
    <w:rsid w:val="009E0CEC"/>
    <w:rsid w:val="009F0275"/>
    <w:rsid w:val="009F4423"/>
    <w:rsid w:val="009F4506"/>
    <w:rsid w:val="00A03E29"/>
    <w:rsid w:val="00A062B3"/>
    <w:rsid w:val="00A10EE3"/>
    <w:rsid w:val="00A1163E"/>
    <w:rsid w:val="00A16B15"/>
    <w:rsid w:val="00A20AFB"/>
    <w:rsid w:val="00A25385"/>
    <w:rsid w:val="00A37140"/>
    <w:rsid w:val="00A40F91"/>
    <w:rsid w:val="00A4497B"/>
    <w:rsid w:val="00A45996"/>
    <w:rsid w:val="00A5032B"/>
    <w:rsid w:val="00A5637F"/>
    <w:rsid w:val="00A62D3E"/>
    <w:rsid w:val="00A64485"/>
    <w:rsid w:val="00A760BD"/>
    <w:rsid w:val="00A87BF2"/>
    <w:rsid w:val="00A9437A"/>
    <w:rsid w:val="00A971DB"/>
    <w:rsid w:val="00AA3C17"/>
    <w:rsid w:val="00AA5093"/>
    <w:rsid w:val="00AA6FD2"/>
    <w:rsid w:val="00AC6853"/>
    <w:rsid w:val="00AD0587"/>
    <w:rsid w:val="00AE3388"/>
    <w:rsid w:val="00AF08CA"/>
    <w:rsid w:val="00AF1C8D"/>
    <w:rsid w:val="00AF7A5A"/>
    <w:rsid w:val="00B064A3"/>
    <w:rsid w:val="00B2034F"/>
    <w:rsid w:val="00B226F4"/>
    <w:rsid w:val="00B251D2"/>
    <w:rsid w:val="00B26D29"/>
    <w:rsid w:val="00B30094"/>
    <w:rsid w:val="00B35BE9"/>
    <w:rsid w:val="00B42981"/>
    <w:rsid w:val="00B43733"/>
    <w:rsid w:val="00B50D7B"/>
    <w:rsid w:val="00B6066B"/>
    <w:rsid w:val="00B6477D"/>
    <w:rsid w:val="00B66412"/>
    <w:rsid w:val="00B709DF"/>
    <w:rsid w:val="00B70CA7"/>
    <w:rsid w:val="00B730E0"/>
    <w:rsid w:val="00B763EA"/>
    <w:rsid w:val="00B867FF"/>
    <w:rsid w:val="00B9522C"/>
    <w:rsid w:val="00B965F0"/>
    <w:rsid w:val="00BA39F6"/>
    <w:rsid w:val="00BD2B60"/>
    <w:rsid w:val="00C0171B"/>
    <w:rsid w:val="00C15C68"/>
    <w:rsid w:val="00C1675A"/>
    <w:rsid w:val="00C32A02"/>
    <w:rsid w:val="00C438CA"/>
    <w:rsid w:val="00C44EE7"/>
    <w:rsid w:val="00C45BF8"/>
    <w:rsid w:val="00C602B0"/>
    <w:rsid w:val="00C64F5B"/>
    <w:rsid w:val="00C65F5C"/>
    <w:rsid w:val="00C70745"/>
    <w:rsid w:val="00C768EC"/>
    <w:rsid w:val="00CA08E7"/>
    <w:rsid w:val="00CA2647"/>
    <w:rsid w:val="00CA2DB8"/>
    <w:rsid w:val="00CA7B9B"/>
    <w:rsid w:val="00CB299E"/>
    <w:rsid w:val="00CB56D6"/>
    <w:rsid w:val="00CC168C"/>
    <w:rsid w:val="00CC3D4A"/>
    <w:rsid w:val="00CC5FF9"/>
    <w:rsid w:val="00CC7B46"/>
    <w:rsid w:val="00CD31B9"/>
    <w:rsid w:val="00CD5212"/>
    <w:rsid w:val="00CE758D"/>
    <w:rsid w:val="00CF3B61"/>
    <w:rsid w:val="00D02791"/>
    <w:rsid w:val="00D05E52"/>
    <w:rsid w:val="00D0729C"/>
    <w:rsid w:val="00D13805"/>
    <w:rsid w:val="00D1447E"/>
    <w:rsid w:val="00D159BD"/>
    <w:rsid w:val="00D21587"/>
    <w:rsid w:val="00D234DF"/>
    <w:rsid w:val="00D24F04"/>
    <w:rsid w:val="00D3157A"/>
    <w:rsid w:val="00D32C6C"/>
    <w:rsid w:val="00D3527A"/>
    <w:rsid w:val="00D3723B"/>
    <w:rsid w:val="00D428C0"/>
    <w:rsid w:val="00D50504"/>
    <w:rsid w:val="00D50E88"/>
    <w:rsid w:val="00D566BD"/>
    <w:rsid w:val="00D56DC3"/>
    <w:rsid w:val="00D56FD5"/>
    <w:rsid w:val="00D60977"/>
    <w:rsid w:val="00D840DB"/>
    <w:rsid w:val="00DA708E"/>
    <w:rsid w:val="00DB2A36"/>
    <w:rsid w:val="00DC2BBA"/>
    <w:rsid w:val="00DD4D59"/>
    <w:rsid w:val="00DD4D67"/>
    <w:rsid w:val="00DE6877"/>
    <w:rsid w:val="00DF027A"/>
    <w:rsid w:val="00DF10FB"/>
    <w:rsid w:val="00DF1248"/>
    <w:rsid w:val="00DF4E61"/>
    <w:rsid w:val="00E22DF8"/>
    <w:rsid w:val="00E23CA6"/>
    <w:rsid w:val="00E3212A"/>
    <w:rsid w:val="00E37B05"/>
    <w:rsid w:val="00E40C34"/>
    <w:rsid w:val="00E421A1"/>
    <w:rsid w:val="00E43252"/>
    <w:rsid w:val="00E442C7"/>
    <w:rsid w:val="00E47748"/>
    <w:rsid w:val="00E51B82"/>
    <w:rsid w:val="00E53B27"/>
    <w:rsid w:val="00E53D32"/>
    <w:rsid w:val="00E70CC6"/>
    <w:rsid w:val="00E77C12"/>
    <w:rsid w:val="00E80B03"/>
    <w:rsid w:val="00E84ADD"/>
    <w:rsid w:val="00E95D9C"/>
    <w:rsid w:val="00E96211"/>
    <w:rsid w:val="00EA1355"/>
    <w:rsid w:val="00EA7D71"/>
    <w:rsid w:val="00EB5618"/>
    <w:rsid w:val="00EC638A"/>
    <w:rsid w:val="00ED0B72"/>
    <w:rsid w:val="00ED2304"/>
    <w:rsid w:val="00ED50DF"/>
    <w:rsid w:val="00EF7F96"/>
    <w:rsid w:val="00F07D3D"/>
    <w:rsid w:val="00F10281"/>
    <w:rsid w:val="00F1054A"/>
    <w:rsid w:val="00F16D90"/>
    <w:rsid w:val="00F25F72"/>
    <w:rsid w:val="00F27B4D"/>
    <w:rsid w:val="00F31D52"/>
    <w:rsid w:val="00F34535"/>
    <w:rsid w:val="00F35292"/>
    <w:rsid w:val="00F37593"/>
    <w:rsid w:val="00F4482A"/>
    <w:rsid w:val="00F44D86"/>
    <w:rsid w:val="00F51C0B"/>
    <w:rsid w:val="00F52814"/>
    <w:rsid w:val="00F57A78"/>
    <w:rsid w:val="00F62DE7"/>
    <w:rsid w:val="00F75901"/>
    <w:rsid w:val="00F80299"/>
    <w:rsid w:val="00F82BC5"/>
    <w:rsid w:val="00FA01B6"/>
    <w:rsid w:val="00FA1040"/>
    <w:rsid w:val="00FA1E22"/>
    <w:rsid w:val="00FA22CE"/>
    <w:rsid w:val="00FA3E8D"/>
    <w:rsid w:val="00FA4F62"/>
    <w:rsid w:val="00FB28D5"/>
    <w:rsid w:val="00FB50DF"/>
    <w:rsid w:val="00FC3858"/>
    <w:rsid w:val="00FC4E27"/>
    <w:rsid w:val="00FE0762"/>
    <w:rsid w:val="00FE7CA8"/>
    <w:rsid w:val="00FF4AA7"/>
    <w:rsid w:val="00FF60DC"/>
    <w:rsid w:val="41CDDDD7"/>
    <w:rsid w:val="52262EEF"/>
    <w:rsid w:val="5DA6C8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676A6"/>
  <w15:chartTrackingRefBased/>
  <w15:docId w15:val="{EC1B45DA-E22B-44F1-971E-047C41184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ABB"/>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E353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E353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E353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E3536"/>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1E3536"/>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1E3536"/>
    <w:pPr>
      <w:keepNext/>
      <w:keepLines/>
      <w:spacing w:before="4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1E3536"/>
    <w:pPr>
      <w:keepNext/>
      <w:keepLines/>
      <w:spacing w:before="4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1E3536"/>
    <w:pPr>
      <w:keepNext/>
      <w:keepLines/>
      <w:spacing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1E3536"/>
    <w:pPr>
      <w:keepNext/>
      <w:keepLines/>
      <w:spacing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5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35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35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35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35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35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35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35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3536"/>
    <w:rPr>
      <w:rFonts w:eastAsiaTheme="majorEastAsia" w:cstheme="majorBidi"/>
      <w:color w:val="272727" w:themeColor="text1" w:themeTint="D8"/>
    </w:rPr>
  </w:style>
  <w:style w:type="paragraph" w:styleId="Title">
    <w:name w:val="Title"/>
    <w:basedOn w:val="Normal"/>
    <w:next w:val="Normal"/>
    <w:link w:val="TitleChar"/>
    <w:uiPriority w:val="10"/>
    <w:qFormat/>
    <w:rsid w:val="001E353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35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353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E35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3536"/>
    <w:pPr>
      <w:spacing w:before="160" w:after="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1E3536"/>
    <w:rPr>
      <w:i/>
      <w:iCs/>
      <w:color w:val="404040" w:themeColor="text1" w:themeTint="BF"/>
    </w:rPr>
  </w:style>
  <w:style w:type="paragraph" w:styleId="ListParagraph">
    <w:name w:val="List Paragraph"/>
    <w:basedOn w:val="Normal"/>
    <w:uiPriority w:val="34"/>
    <w:qFormat/>
    <w:rsid w:val="001E3536"/>
    <w:pPr>
      <w:spacing w:after="160"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1E3536"/>
    <w:rPr>
      <w:i/>
      <w:iCs/>
      <w:color w:val="0F4761" w:themeColor="accent1" w:themeShade="BF"/>
    </w:rPr>
  </w:style>
  <w:style w:type="paragraph" w:styleId="IntenseQuote">
    <w:name w:val="Intense Quote"/>
    <w:basedOn w:val="Normal"/>
    <w:next w:val="Normal"/>
    <w:link w:val="IntenseQuoteChar"/>
    <w:uiPriority w:val="30"/>
    <w:qFormat/>
    <w:rsid w:val="001E353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1E3536"/>
    <w:rPr>
      <w:i/>
      <w:iCs/>
      <w:color w:val="0F4761" w:themeColor="accent1" w:themeShade="BF"/>
    </w:rPr>
  </w:style>
  <w:style w:type="character" w:styleId="IntenseReference">
    <w:name w:val="Intense Reference"/>
    <w:basedOn w:val="DefaultParagraphFont"/>
    <w:uiPriority w:val="32"/>
    <w:qFormat/>
    <w:rsid w:val="001E3536"/>
    <w:rPr>
      <w:b/>
      <w:bCs/>
      <w:smallCaps/>
      <w:color w:val="0F4761" w:themeColor="accent1" w:themeShade="BF"/>
      <w:spacing w:val="5"/>
    </w:rPr>
  </w:style>
  <w:style w:type="paragraph" w:styleId="NormalWeb">
    <w:name w:val="Normal (Web)"/>
    <w:basedOn w:val="Normal"/>
    <w:uiPriority w:val="99"/>
    <w:unhideWhenUsed/>
    <w:rsid w:val="001E3536"/>
    <w:pPr>
      <w:spacing w:before="100" w:beforeAutospacing="1" w:after="100" w:afterAutospacing="1"/>
    </w:pPr>
    <w:rPr>
      <w:rFonts w:ascii="Times New Roman" w:eastAsia="Times New Roman" w:hAnsi="Times New Roman" w:cs="Times New Roman"/>
      <w:sz w:val="24"/>
      <w:szCs w:val="24"/>
      <w:lang w:eastAsia="en-GB"/>
      <w14:ligatures w14:val="none"/>
    </w:rPr>
  </w:style>
  <w:style w:type="paragraph" w:customStyle="1" w:styleId="Default">
    <w:name w:val="Default"/>
    <w:basedOn w:val="Normal"/>
    <w:rsid w:val="00F82BC5"/>
    <w:pPr>
      <w:autoSpaceDE w:val="0"/>
      <w:autoSpaceDN w:val="0"/>
    </w:pPr>
    <w:rPr>
      <w:rFonts w:ascii="Arial" w:hAnsi="Arial" w:cs="Arial"/>
      <w:color w:val="000000"/>
      <w:sz w:val="24"/>
      <w:szCs w:val="24"/>
    </w:rPr>
  </w:style>
  <w:style w:type="character" w:customStyle="1" w:styleId="ui-provider">
    <w:name w:val="ui-provider"/>
    <w:basedOn w:val="DefaultParagraphFont"/>
    <w:rsid w:val="00F82BC5"/>
  </w:style>
  <w:style w:type="character" w:styleId="Hyperlink">
    <w:name w:val="Hyperlink"/>
    <w:basedOn w:val="DefaultParagraphFont"/>
    <w:uiPriority w:val="99"/>
    <w:unhideWhenUsed/>
    <w:rsid w:val="007D022D"/>
    <w:rPr>
      <w:color w:val="467886" w:themeColor="hyperlink"/>
      <w:u w:val="single"/>
    </w:rPr>
  </w:style>
  <w:style w:type="character" w:styleId="UnresolvedMention">
    <w:name w:val="Unresolved Mention"/>
    <w:basedOn w:val="DefaultParagraphFont"/>
    <w:uiPriority w:val="99"/>
    <w:semiHidden/>
    <w:unhideWhenUsed/>
    <w:rsid w:val="007D022D"/>
    <w:rPr>
      <w:color w:val="605E5C"/>
      <w:shd w:val="clear" w:color="auto" w:fill="E1DFDD"/>
    </w:rPr>
  </w:style>
  <w:style w:type="character" w:styleId="CommentReference">
    <w:name w:val="annotation reference"/>
    <w:basedOn w:val="DefaultParagraphFont"/>
    <w:uiPriority w:val="99"/>
    <w:semiHidden/>
    <w:unhideWhenUsed/>
    <w:rsid w:val="009E0CEC"/>
    <w:rPr>
      <w:sz w:val="16"/>
      <w:szCs w:val="16"/>
    </w:rPr>
  </w:style>
  <w:style w:type="paragraph" w:styleId="CommentText">
    <w:name w:val="annotation text"/>
    <w:basedOn w:val="Normal"/>
    <w:link w:val="CommentTextChar"/>
    <w:uiPriority w:val="99"/>
    <w:unhideWhenUsed/>
    <w:rsid w:val="009E0CEC"/>
    <w:rPr>
      <w:sz w:val="20"/>
      <w:szCs w:val="20"/>
    </w:rPr>
  </w:style>
  <w:style w:type="character" w:customStyle="1" w:styleId="CommentTextChar">
    <w:name w:val="Comment Text Char"/>
    <w:basedOn w:val="DefaultParagraphFont"/>
    <w:link w:val="CommentText"/>
    <w:uiPriority w:val="99"/>
    <w:rsid w:val="009E0CEC"/>
    <w:rPr>
      <w:rFonts w:ascii="Aptos" w:hAnsi="Aptos" w:cs="Aptos"/>
      <w:kern w:val="0"/>
      <w:sz w:val="20"/>
      <w:szCs w:val="20"/>
    </w:rPr>
  </w:style>
  <w:style w:type="paragraph" w:styleId="CommentSubject">
    <w:name w:val="annotation subject"/>
    <w:basedOn w:val="CommentText"/>
    <w:next w:val="CommentText"/>
    <w:link w:val="CommentSubjectChar"/>
    <w:uiPriority w:val="99"/>
    <w:semiHidden/>
    <w:unhideWhenUsed/>
    <w:rsid w:val="009E0CEC"/>
    <w:rPr>
      <w:b/>
      <w:bCs/>
    </w:rPr>
  </w:style>
  <w:style w:type="character" w:customStyle="1" w:styleId="CommentSubjectChar">
    <w:name w:val="Comment Subject Char"/>
    <w:basedOn w:val="CommentTextChar"/>
    <w:link w:val="CommentSubject"/>
    <w:uiPriority w:val="99"/>
    <w:semiHidden/>
    <w:rsid w:val="009E0CEC"/>
    <w:rPr>
      <w:rFonts w:ascii="Aptos" w:hAnsi="Aptos" w:cs="Aptos"/>
      <w:b/>
      <w:bCs/>
      <w:kern w:val="0"/>
      <w:sz w:val="20"/>
      <w:szCs w:val="20"/>
    </w:rPr>
  </w:style>
  <w:style w:type="paragraph" w:styleId="Header">
    <w:name w:val="header"/>
    <w:basedOn w:val="Normal"/>
    <w:link w:val="HeaderChar"/>
    <w:uiPriority w:val="99"/>
    <w:unhideWhenUsed/>
    <w:rsid w:val="00D50504"/>
    <w:pPr>
      <w:tabs>
        <w:tab w:val="center" w:pos="4513"/>
        <w:tab w:val="right" w:pos="9026"/>
      </w:tabs>
    </w:pPr>
  </w:style>
  <w:style w:type="character" w:customStyle="1" w:styleId="HeaderChar">
    <w:name w:val="Header Char"/>
    <w:basedOn w:val="DefaultParagraphFont"/>
    <w:link w:val="Header"/>
    <w:uiPriority w:val="99"/>
    <w:rsid w:val="00D50504"/>
    <w:rPr>
      <w:rFonts w:ascii="Aptos" w:hAnsi="Aptos" w:cs="Aptos"/>
      <w:kern w:val="0"/>
    </w:rPr>
  </w:style>
  <w:style w:type="paragraph" w:styleId="Footer">
    <w:name w:val="footer"/>
    <w:basedOn w:val="Normal"/>
    <w:link w:val="FooterChar"/>
    <w:uiPriority w:val="99"/>
    <w:unhideWhenUsed/>
    <w:rsid w:val="00D50504"/>
    <w:pPr>
      <w:tabs>
        <w:tab w:val="center" w:pos="4513"/>
        <w:tab w:val="right" w:pos="9026"/>
      </w:tabs>
    </w:pPr>
  </w:style>
  <w:style w:type="character" w:customStyle="1" w:styleId="FooterChar">
    <w:name w:val="Footer Char"/>
    <w:basedOn w:val="DefaultParagraphFont"/>
    <w:link w:val="Footer"/>
    <w:uiPriority w:val="99"/>
    <w:rsid w:val="00D50504"/>
    <w:rPr>
      <w:rFonts w:ascii="Aptos" w:hAnsi="Aptos" w:cs="Aptos"/>
      <w:kern w:val="0"/>
    </w:rPr>
  </w:style>
  <w:style w:type="paragraph" w:customStyle="1" w:styleId="Bodycopy">
    <w:name w:val="Body copy"/>
    <w:basedOn w:val="Normal"/>
    <w:qFormat/>
    <w:rsid w:val="009A2D0F"/>
    <w:pPr>
      <w:keepNext/>
      <w:autoSpaceDE w:val="0"/>
      <w:autoSpaceDN w:val="0"/>
      <w:adjustRightInd w:val="0"/>
      <w:textAlignment w:val="center"/>
    </w:pPr>
    <w:rPr>
      <w:rFonts w:ascii="Helvetica Now Text Light" w:hAnsi="Helvetica Now Text Light" w:cs="Minion Pro"/>
      <w:color w:val="000000"/>
      <w:kern w:val="2"/>
      <w:sz w:val="20"/>
      <w:szCs w:val="20"/>
    </w:rPr>
  </w:style>
  <w:style w:type="paragraph" w:styleId="FootnoteText">
    <w:name w:val="footnote text"/>
    <w:aliases w:val="Footnote Text Char2 Char,Footnote Text Char Char1 Char,Footnote Text Char1 Char Char Char,Footnote Text Char Char Char Char Char,Footnote Text Char2 Char1 Char Char Char Char,5_G,Char,FA Fu,Thesis Footnote Text,Footnote Text Cha, Char"/>
    <w:basedOn w:val="Normal"/>
    <w:link w:val="FootnoteTextChar"/>
    <w:uiPriority w:val="99"/>
    <w:unhideWhenUsed/>
    <w:qFormat/>
    <w:rsid w:val="009A2D0F"/>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2 Char1 Char Char Char Char Char,5_G Char,Char Char,FA Fu Char"/>
    <w:basedOn w:val="DefaultParagraphFont"/>
    <w:link w:val="FootnoteText"/>
    <w:uiPriority w:val="99"/>
    <w:rsid w:val="009A2D0F"/>
    <w:rPr>
      <w:rFonts w:ascii="Aptos" w:hAnsi="Aptos" w:cs="Aptos"/>
      <w:kern w:val="0"/>
      <w:sz w:val="20"/>
      <w:szCs w:val="20"/>
    </w:rPr>
  </w:style>
  <w:style w:type="character" w:styleId="FootnoteReference">
    <w:name w:val="footnote reference"/>
    <w:aliases w:val="4_G,Footnotes refss,ftref,BVI fnr,BVI fnr Car Car,BVI fnr Car,BVI fnr Car Car Car Car,BVI fnr Char Car Car Car,BVI fnr Char Car Car Car Char,BVI fnr Car Car Car Car Char Char,BVI fnr Car Car Car Car Char Char Char Char Char,4_G Char"/>
    <w:basedOn w:val="DefaultParagraphFont"/>
    <w:link w:val="Char2"/>
    <w:uiPriority w:val="99"/>
    <w:unhideWhenUsed/>
    <w:qFormat/>
    <w:rsid w:val="009A2D0F"/>
    <w:rPr>
      <w:vertAlign w:val="superscript"/>
    </w:rPr>
  </w:style>
  <w:style w:type="paragraph" w:customStyle="1" w:styleId="paragraph">
    <w:name w:val="paragraph"/>
    <w:basedOn w:val="Normal"/>
    <w:rsid w:val="002B7152"/>
    <w:pPr>
      <w:spacing w:before="100" w:beforeAutospacing="1" w:after="100" w:afterAutospacing="1"/>
    </w:pPr>
    <w:rPr>
      <w:rFonts w:ascii="Times New Roman" w:eastAsia="Times New Roman" w:hAnsi="Times New Roman" w:cs="Times New Roman"/>
      <w:sz w:val="24"/>
      <w:szCs w:val="24"/>
      <w:lang w:eastAsia="en-GB"/>
      <w14:ligatures w14:val="none"/>
    </w:rPr>
  </w:style>
  <w:style w:type="character" w:customStyle="1" w:styleId="normaltextrun">
    <w:name w:val="normaltextrun"/>
    <w:basedOn w:val="DefaultParagraphFont"/>
    <w:rsid w:val="002B7152"/>
  </w:style>
  <w:style w:type="character" w:customStyle="1" w:styleId="eop">
    <w:name w:val="eop"/>
    <w:basedOn w:val="DefaultParagraphFont"/>
    <w:rsid w:val="002B7152"/>
  </w:style>
  <w:style w:type="paragraph" w:styleId="NormalIndent">
    <w:name w:val="Normal Indent"/>
    <w:basedOn w:val="Normal"/>
    <w:rsid w:val="0031669A"/>
    <w:pPr>
      <w:ind w:left="720"/>
    </w:pPr>
    <w:rPr>
      <w:rFonts w:ascii="Arial" w:eastAsia="Times New Roman" w:hAnsi="Arial" w:cs="Times New Roman"/>
      <w:sz w:val="24"/>
      <w:szCs w:val="20"/>
      <w14:ligatures w14:val="none"/>
    </w:rPr>
  </w:style>
  <w:style w:type="paragraph" w:styleId="BodyTextIndent3">
    <w:name w:val="Body Text Indent 3"/>
    <w:basedOn w:val="Normal"/>
    <w:link w:val="BodyTextIndent3Char"/>
    <w:rsid w:val="0031669A"/>
    <w:pPr>
      <w:ind w:left="720" w:hanging="720"/>
    </w:pPr>
    <w:rPr>
      <w:rFonts w:ascii="Arial" w:eastAsia="Times New Roman" w:hAnsi="Arial" w:cs="Times New Roman"/>
      <w:sz w:val="24"/>
      <w:szCs w:val="20"/>
      <w14:ligatures w14:val="none"/>
    </w:rPr>
  </w:style>
  <w:style w:type="character" w:customStyle="1" w:styleId="BodyTextIndent3Char">
    <w:name w:val="Body Text Indent 3 Char"/>
    <w:basedOn w:val="DefaultParagraphFont"/>
    <w:link w:val="BodyTextIndent3"/>
    <w:rsid w:val="0031669A"/>
    <w:rPr>
      <w:rFonts w:ascii="Arial" w:eastAsia="Times New Roman" w:hAnsi="Arial" w:cs="Times New Roman"/>
      <w:kern w:val="0"/>
      <w:sz w:val="24"/>
      <w:szCs w:val="20"/>
      <w14:ligatures w14:val="none"/>
    </w:rPr>
  </w:style>
  <w:style w:type="character" w:styleId="Strong">
    <w:name w:val="Strong"/>
    <w:basedOn w:val="DefaultParagraphFont"/>
    <w:uiPriority w:val="22"/>
    <w:qFormat/>
    <w:rsid w:val="0031669A"/>
    <w:rPr>
      <w:b/>
      <w:bCs/>
    </w:rPr>
  </w:style>
  <w:style w:type="paragraph" w:customStyle="1" w:styleId="Char2">
    <w:name w:val="Char2"/>
    <w:basedOn w:val="Normal"/>
    <w:link w:val="FootnoteReference"/>
    <w:uiPriority w:val="99"/>
    <w:rsid w:val="0031669A"/>
    <w:pPr>
      <w:spacing w:after="160" w:line="240" w:lineRule="exact"/>
      <w:jc w:val="both"/>
    </w:pPr>
    <w:rPr>
      <w:rFonts w:asciiTheme="minorHAnsi" w:hAnsiTheme="minorHAnsi" w:cstheme="minorBidi"/>
      <w:kern w:val="2"/>
      <w:vertAlign w:val="superscript"/>
    </w:rPr>
  </w:style>
  <w:style w:type="paragraph" w:styleId="Revision">
    <w:name w:val="Revision"/>
    <w:hidden/>
    <w:uiPriority w:val="99"/>
    <w:semiHidden/>
    <w:rsid w:val="00673FAB"/>
    <w:pPr>
      <w:spacing w:after="0" w:line="240" w:lineRule="auto"/>
    </w:pPr>
    <w:rPr>
      <w:rFonts w:ascii="Aptos" w:hAnsi="Aptos" w:cs="Apto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1877">
      <w:bodyDiv w:val="1"/>
      <w:marLeft w:val="0"/>
      <w:marRight w:val="0"/>
      <w:marTop w:val="0"/>
      <w:marBottom w:val="0"/>
      <w:divBdr>
        <w:top w:val="none" w:sz="0" w:space="0" w:color="auto"/>
        <w:left w:val="none" w:sz="0" w:space="0" w:color="auto"/>
        <w:bottom w:val="none" w:sz="0" w:space="0" w:color="auto"/>
        <w:right w:val="none" w:sz="0" w:space="0" w:color="auto"/>
      </w:divBdr>
    </w:div>
    <w:div w:id="243031966">
      <w:bodyDiv w:val="1"/>
      <w:marLeft w:val="0"/>
      <w:marRight w:val="0"/>
      <w:marTop w:val="0"/>
      <w:marBottom w:val="0"/>
      <w:divBdr>
        <w:top w:val="none" w:sz="0" w:space="0" w:color="auto"/>
        <w:left w:val="none" w:sz="0" w:space="0" w:color="auto"/>
        <w:bottom w:val="none" w:sz="0" w:space="0" w:color="auto"/>
        <w:right w:val="none" w:sz="0" w:space="0" w:color="auto"/>
      </w:divBdr>
    </w:div>
    <w:div w:id="605238692">
      <w:bodyDiv w:val="1"/>
      <w:marLeft w:val="0"/>
      <w:marRight w:val="0"/>
      <w:marTop w:val="0"/>
      <w:marBottom w:val="0"/>
      <w:divBdr>
        <w:top w:val="none" w:sz="0" w:space="0" w:color="auto"/>
        <w:left w:val="none" w:sz="0" w:space="0" w:color="auto"/>
        <w:bottom w:val="none" w:sz="0" w:space="0" w:color="auto"/>
        <w:right w:val="none" w:sz="0" w:space="0" w:color="auto"/>
      </w:divBdr>
    </w:div>
    <w:div w:id="852690895">
      <w:bodyDiv w:val="1"/>
      <w:marLeft w:val="0"/>
      <w:marRight w:val="0"/>
      <w:marTop w:val="0"/>
      <w:marBottom w:val="0"/>
      <w:divBdr>
        <w:top w:val="none" w:sz="0" w:space="0" w:color="auto"/>
        <w:left w:val="none" w:sz="0" w:space="0" w:color="auto"/>
        <w:bottom w:val="none" w:sz="0" w:space="0" w:color="auto"/>
        <w:right w:val="none" w:sz="0" w:space="0" w:color="auto"/>
      </w:divBdr>
    </w:div>
    <w:div w:id="1513107801">
      <w:bodyDiv w:val="1"/>
      <w:marLeft w:val="0"/>
      <w:marRight w:val="0"/>
      <w:marTop w:val="0"/>
      <w:marBottom w:val="0"/>
      <w:divBdr>
        <w:top w:val="none" w:sz="0" w:space="0" w:color="auto"/>
        <w:left w:val="none" w:sz="0" w:space="0" w:color="auto"/>
        <w:bottom w:val="none" w:sz="0" w:space="0" w:color="auto"/>
        <w:right w:val="none" w:sz="0" w:space="0" w:color="auto"/>
      </w:divBdr>
    </w:div>
    <w:div w:id="1667781453">
      <w:bodyDiv w:val="1"/>
      <w:marLeft w:val="0"/>
      <w:marRight w:val="0"/>
      <w:marTop w:val="0"/>
      <w:marBottom w:val="0"/>
      <w:divBdr>
        <w:top w:val="none" w:sz="0" w:space="0" w:color="auto"/>
        <w:left w:val="none" w:sz="0" w:space="0" w:color="auto"/>
        <w:bottom w:val="none" w:sz="0" w:space="0" w:color="auto"/>
        <w:right w:val="none" w:sz="0" w:space="0" w:color="auto"/>
      </w:divBdr>
    </w:div>
    <w:div w:id="1830367524">
      <w:bodyDiv w:val="1"/>
      <w:marLeft w:val="0"/>
      <w:marRight w:val="0"/>
      <w:marTop w:val="0"/>
      <w:marBottom w:val="0"/>
      <w:divBdr>
        <w:top w:val="none" w:sz="0" w:space="0" w:color="auto"/>
        <w:left w:val="none" w:sz="0" w:space="0" w:color="auto"/>
        <w:bottom w:val="none" w:sz="0" w:space="0" w:color="auto"/>
        <w:right w:val="none" w:sz="0" w:space="0" w:color="auto"/>
      </w:divBdr>
    </w:div>
    <w:div w:id="1867016539">
      <w:bodyDiv w:val="1"/>
      <w:marLeft w:val="0"/>
      <w:marRight w:val="0"/>
      <w:marTop w:val="0"/>
      <w:marBottom w:val="0"/>
      <w:divBdr>
        <w:top w:val="none" w:sz="0" w:space="0" w:color="auto"/>
        <w:left w:val="none" w:sz="0" w:space="0" w:color="auto"/>
        <w:bottom w:val="none" w:sz="0" w:space="0" w:color="auto"/>
        <w:right w:val="none" w:sz="0" w:space="0" w:color="auto"/>
      </w:divBdr>
    </w:div>
    <w:div w:id="1875657425">
      <w:bodyDiv w:val="1"/>
      <w:marLeft w:val="0"/>
      <w:marRight w:val="0"/>
      <w:marTop w:val="0"/>
      <w:marBottom w:val="0"/>
      <w:divBdr>
        <w:top w:val="none" w:sz="0" w:space="0" w:color="auto"/>
        <w:left w:val="none" w:sz="0" w:space="0" w:color="auto"/>
        <w:bottom w:val="none" w:sz="0" w:space="0" w:color="auto"/>
        <w:right w:val="none" w:sz="0" w:space="0" w:color="auto"/>
      </w:divBdr>
    </w:div>
    <w:div w:id="1928034523">
      <w:bodyDiv w:val="1"/>
      <w:marLeft w:val="0"/>
      <w:marRight w:val="0"/>
      <w:marTop w:val="0"/>
      <w:marBottom w:val="0"/>
      <w:divBdr>
        <w:top w:val="none" w:sz="0" w:space="0" w:color="auto"/>
        <w:left w:val="none" w:sz="0" w:space="0" w:color="auto"/>
        <w:bottom w:val="none" w:sz="0" w:space="0" w:color="auto"/>
        <w:right w:val="none" w:sz="0" w:space="0" w:color="auto"/>
      </w:divBdr>
    </w:div>
    <w:div w:id="2020891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cu.org.uk/media/11623/Postgraduate-researchers-as-staff-manfesto/pdf/PGRs_as_staff_manifesto_Dec2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hyperlink" Target="https://www.gov.uk/government/news/gender-pensions-gap-report"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commonslibrary.parliament.uk/research-briefings/cbp-951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unisontheunion-my.sharepoint.com/personal/k_russell_unison_co_uk/Documents/Desktop/HE%20pay%20scale%20modelling%202010%20to%20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unisontheunion-my.sharepoint.com/personal/k_russell_unison_co_uk/Documents/Desktop/HE%20pay%20scale%20modelling%202010%20to%20202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unisontheunion-my.sharepoint.com/personal/k_russell_unison_co_uk/Documents/Desktop/HE%20pay%20scale%20modelling%202010%20to%202022.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unisontheunion-my.sharepoint.com/personal/k_russell_unison_co_uk/Documents/Desktop/HE%20rates%20against%20NMW%20and%20FLW%202024.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Average percentage cut in value of</a:t>
            </a:r>
            <a:r>
              <a:rPr lang="en-GB" baseline="0"/>
              <a:t> pay against inflation </a:t>
            </a:r>
            <a:r>
              <a:rPr lang="en-GB"/>
              <a:t>2020-24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'Pay v inflation 2020-2024'!$K$3</c:f>
              <c:strCache>
                <c:ptCount val="1"/>
                <c:pt idx="0">
                  <c:v>Average percentage cut in value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'Pay v inflation 2020-2024'!$L$2:$P$2</c:f>
              <c:strCache>
                <c:ptCount val="5"/>
                <c:pt idx="0">
                  <c:v>Points 3-5</c:v>
                </c:pt>
                <c:pt idx="1">
                  <c:v>Points 6-14</c:v>
                </c:pt>
                <c:pt idx="2">
                  <c:v>Points 15-25</c:v>
                </c:pt>
                <c:pt idx="3">
                  <c:v>Points 26-51</c:v>
                </c:pt>
                <c:pt idx="4">
                  <c:v>All</c:v>
                </c:pt>
              </c:strCache>
            </c:strRef>
          </c:cat>
          <c:val>
            <c:numRef>
              <c:f>'Pay v inflation 2020-2024'!$L$3:$P$3</c:f>
              <c:numCache>
                <c:formatCode>0.0%</c:formatCode>
                <c:ptCount val="5"/>
                <c:pt idx="0">
                  <c:v>5.2251760530915119E-2</c:v>
                </c:pt>
                <c:pt idx="1">
                  <c:v>9.2895474357860733E-2</c:v>
                </c:pt>
                <c:pt idx="2">
                  <c:v>0.13857378306246626</c:v>
                </c:pt>
                <c:pt idx="3">
                  <c:v>0.16061046005718491</c:v>
                </c:pt>
                <c:pt idx="4">
                  <c:v>0.13659179848953937</c:v>
                </c:pt>
              </c:numCache>
            </c:numRef>
          </c:val>
          <c:extLst>
            <c:ext xmlns:c16="http://schemas.microsoft.com/office/drawing/2014/chart" uri="{C3380CC4-5D6E-409C-BE32-E72D297353CC}">
              <c16:uniqueId val="{00000000-ABF9-4AAE-9462-7073F164D0EA}"/>
            </c:ext>
          </c:extLst>
        </c:ser>
        <c:dLbls>
          <c:dLblPos val="outEnd"/>
          <c:showLegendKey val="0"/>
          <c:showVal val="1"/>
          <c:showCatName val="0"/>
          <c:showSerName val="0"/>
          <c:showPercent val="0"/>
          <c:showBubbleSize val="0"/>
        </c:dLbls>
        <c:gapWidth val="219"/>
        <c:overlap val="-27"/>
        <c:axId val="410766912"/>
        <c:axId val="410767392"/>
      </c:barChart>
      <c:catAx>
        <c:axId val="4107669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767392"/>
        <c:crosses val="autoZero"/>
        <c:auto val="1"/>
        <c:lblAlgn val="ctr"/>
        <c:lblOffset val="100"/>
        <c:noMultiLvlLbl val="0"/>
      </c:catAx>
      <c:valAx>
        <c:axId val="410767392"/>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1076691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Average percentage cut in value of pay against inflation </a:t>
            </a:r>
            <a:r>
              <a:rPr lang="en-GB" sz="1400"/>
              <a:t>2010-24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'Pay v inflation 2010-2024'!$X$5</c:f>
              <c:strCache>
                <c:ptCount val="1"/>
                <c:pt idx="0">
                  <c:v>Average percentage cut in value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'Pay v inflation 2010-2024'!$Y$4:$AC$4</c:f>
              <c:strCache>
                <c:ptCount val="5"/>
                <c:pt idx="0">
                  <c:v>Points 3-5</c:v>
                </c:pt>
                <c:pt idx="1">
                  <c:v>Points 6-14</c:v>
                </c:pt>
                <c:pt idx="2">
                  <c:v>Points 15-25</c:v>
                </c:pt>
                <c:pt idx="3">
                  <c:v>Points 26-51</c:v>
                </c:pt>
                <c:pt idx="4">
                  <c:v>All</c:v>
                </c:pt>
              </c:strCache>
            </c:strRef>
          </c:cat>
          <c:val>
            <c:numRef>
              <c:f>'Pay v inflation 2010-2024'!$Y$5:$AC$5</c:f>
              <c:numCache>
                <c:formatCode>0.0%</c:formatCode>
                <c:ptCount val="5"/>
                <c:pt idx="0">
                  <c:v>0.16236294496021855</c:v>
                </c:pt>
                <c:pt idx="1">
                  <c:v>0.22831540518582857</c:v>
                </c:pt>
                <c:pt idx="2">
                  <c:v>0.281194031443875</c:v>
                </c:pt>
                <c:pt idx="3">
                  <c:v>0.30164186836727069</c:v>
                </c:pt>
                <c:pt idx="4">
                  <c:v>0.27505613071397494</c:v>
                </c:pt>
              </c:numCache>
            </c:numRef>
          </c:val>
          <c:extLst>
            <c:ext xmlns:c16="http://schemas.microsoft.com/office/drawing/2014/chart" uri="{C3380CC4-5D6E-409C-BE32-E72D297353CC}">
              <c16:uniqueId val="{00000000-7307-4607-86DB-5732FE4A9DCB}"/>
            </c:ext>
          </c:extLst>
        </c:ser>
        <c:dLbls>
          <c:dLblPos val="outEnd"/>
          <c:showLegendKey val="0"/>
          <c:showVal val="1"/>
          <c:showCatName val="0"/>
          <c:showSerName val="0"/>
          <c:showPercent val="0"/>
          <c:showBubbleSize val="0"/>
        </c:dLbls>
        <c:gapWidth val="219"/>
        <c:overlap val="-27"/>
        <c:axId val="564689744"/>
        <c:axId val="564693584"/>
      </c:barChart>
      <c:catAx>
        <c:axId val="564689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93584"/>
        <c:crosses val="autoZero"/>
        <c:auto val="1"/>
        <c:lblAlgn val="ctr"/>
        <c:lblOffset val="100"/>
        <c:noMultiLvlLbl val="0"/>
      </c:catAx>
      <c:valAx>
        <c:axId val="56469358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6468974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400" b="0" i="0" u="none" strike="noStrike" kern="1200" spc="0" baseline="0">
                <a:solidFill>
                  <a:sysClr val="windowText" lastClr="000000">
                    <a:lumMod val="65000"/>
                    <a:lumOff val="35000"/>
                  </a:sysClr>
                </a:solidFill>
              </a:rPr>
              <a:t>Average percentage loss in value of HE pay against average pay 2010-24</a:t>
            </a:r>
          </a:p>
        </c:rich>
      </c:tx>
      <c:layout>
        <c:manualLayout>
          <c:xMode val="edge"/>
          <c:yMode val="edge"/>
          <c:x val="8.7890451207447956E-2"/>
          <c:y val="4.1752892182983142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'Pay v average pay 2010-2024'!$V$5</c:f>
              <c:strCache>
                <c:ptCount val="1"/>
                <c:pt idx="0">
                  <c:v>Average percentage loss in value against average pay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'Pay v average pay 2010-2024'!$W$4:$AA$4</c:f>
              <c:strCache>
                <c:ptCount val="5"/>
                <c:pt idx="0">
                  <c:v>Points 3-5</c:v>
                </c:pt>
                <c:pt idx="1">
                  <c:v>Points 6-14</c:v>
                </c:pt>
                <c:pt idx="2">
                  <c:v>Points 15-25</c:v>
                </c:pt>
                <c:pt idx="3">
                  <c:v>Points 26-51</c:v>
                </c:pt>
                <c:pt idx="4">
                  <c:v>All</c:v>
                </c:pt>
              </c:strCache>
            </c:strRef>
          </c:cat>
          <c:val>
            <c:numRef>
              <c:f>'Pay v average pay 2010-2024'!$W$5:$AA$5</c:f>
              <c:numCache>
                <c:formatCode>0.0%</c:formatCode>
                <c:ptCount val="5"/>
                <c:pt idx="0">
                  <c:v>-7.7670770601511278E-3</c:v>
                </c:pt>
                <c:pt idx="1">
                  <c:v>7.1580795227247057E-2</c:v>
                </c:pt>
                <c:pt idx="2">
                  <c:v>0.13519944521700536</c:v>
                </c:pt>
                <c:pt idx="3">
                  <c:v>0.15980038272867542</c:v>
                </c:pt>
                <c:pt idx="4">
                  <c:v>0.12781489335096716</c:v>
                </c:pt>
              </c:numCache>
            </c:numRef>
          </c:val>
          <c:extLst>
            <c:ext xmlns:c16="http://schemas.microsoft.com/office/drawing/2014/chart" uri="{C3380CC4-5D6E-409C-BE32-E72D297353CC}">
              <c16:uniqueId val="{00000000-0BFF-49E2-84F1-1A1B67E9F023}"/>
            </c:ext>
          </c:extLst>
        </c:ser>
        <c:dLbls>
          <c:dLblPos val="outEnd"/>
          <c:showLegendKey val="0"/>
          <c:showVal val="1"/>
          <c:showCatName val="0"/>
          <c:showSerName val="0"/>
          <c:showPercent val="0"/>
          <c:showBubbleSize val="0"/>
        </c:dLbls>
        <c:gapWidth val="219"/>
        <c:overlap val="-27"/>
        <c:axId val="594360656"/>
        <c:axId val="594364496"/>
      </c:barChart>
      <c:catAx>
        <c:axId val="594360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364496"/>
        <c:crosses val="autoZero"/>
        <c:auto val="1"/>
        <c:lblAlgn val="ctr"/>
        <c:lblOffset val="100"/>
        <c:noMultiLvlLbl val="0"/>
      </c:catAx>
      <c:valAx>
        <c:axId val="594364496"/>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43606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Pay rates</a:t>
            </a:r>
            <a:r>
              <a:rPr lang="en-GB" baseline="0"/>
              <a:t> against NMW and FLW</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2"/>
          <c:order val="0"/>
          <c:tx>
            <c:strRef>
              <c:f>Sheet1!$D$3</c:f>
              <c:strCache>
                <c:ptCount val="1"/>
                <c:pt idx="0">
                  <c:v>35 hours</c:v>
                </c:pt>
              </c:strCache>
            </c:strRef>
          </c:tx>
          <c:spPr>
            <a:solidFill>
              <a:schemeClr val="accent3"/>
            </a:solidFill>
            <a:ln>
              <a:noFill/>
            </a:ln>
            <a:effectLst/>
          </c:spPr>
          <c:invertIfNegative val="0"/>
          <c:cat>
            <c:numRef>
              <c:f>Sheet1!$B$4:$B$14</c:f>
              <c:numCache>
                <c:formatCode>General</c:formatCode>
                <c:ptCount val="11"/>
                <c:pt idx="0">
                  <c:v>3</c:v>
                </c:pt>
                <c:pt idx="1">
                  <c:v>4</c:v>
                </c:pt>
                <c:pt idx="2">
                  <c:v>5</c:v>
                </c:pt>
                <c:pt idx="3">
                  <c:v>6</c:v>
                </c:pt>
                <c:pt idx="4">
                  <c:v>7</c:v>
                </c:pt>
                <c:pt idx="5">
                  <c:v>8</c:v>
                </c:pt>
                <c:pt idx="6">
                  <c:v>9</c:v>
                </c:pt>
                <c:pt idx="7">
                  <c:v>10</c:v>
                </c:pt>
                <c:pt idx="8">
                  <c:v>11</c:v>
                </c:pt>
                <c:pt idx="9">
                  <c:v>12</c:v>
                </c:pt>
                <c:pt idx="10">
                  <c:v>13</c:v>
                </c:pt>
              </c:numCache>
            </c:numRef>
          </c:cat>
          <c:val>
            <c:numRef>
              <c:f>Sheet1!$D$4:$D$14</c:f>
              <c:numCache>
                <c:formatCode>0.00</c:formatCode>
                <c:ptCount val="11"/>
                <c:pt idx="0">
                  <c:v>11.677352183681299</c:v>
                </c:pt>
                <c:pt idx="1">
                  <c:v>11.79187900706888</c:v>
                </c:pt>
                <c:pt idx="2">
                  <c:v>11.934900542495479</c:v>
                </c:pt>
                <c:pt idx="3">
                  <c:v>11.972162858238807</c:v>
                </c:pt>
                <c:pt idx="4">
                  <c:v>12.139843279083786</c:v>
                </c:pt>
                <c:pt idx="5">
                  <c:v>12.298208120992932</c:v>
                </c:pt>
                <c:pt idx="6">
                  <c:v>12.454381061975999</c:v>
                </c:pt>
                <c:pt idx="7">
                  <c:v>12.66589950134254</c:v>
                </c:pt>
                <c:pt idx="8">
                  <c:v>12.921803934462162</c:v>
                </c:pt>
                <c:pt idx="9">
                  <c:v>13.175516466655708</c:v>
                </c:pt>
                <c:pt idx="10">
                  <c:v>13.480190695380569</c:v>
                </c:pt>
              </c:numCache>
            </c:numRef>
          </c:val>
          <c:extLst>
            <c:ext xmlns:c16="http://schemas.microsoft.com/office/drawing/2014/chart" uri="{C3380CC4-5D6E-409C-BE32-E72D297353CC}">
              <c16:uniqueId val="{00000000-9E08-4795-9747-948752DCEDC9}"/>
            </c:ext>
          </c:extLst>
        </c:ser>
        <c:ser>
          <c:idx val="3"/>
          <c:order val="1"/>
          <c:tx>
            <c:strRef>
              <c:f>Sheet1!$E$3</c:f>
              <c:strCache>
                <c:ptCount val="1"/>
                <c:pt idx="0">
                  <c:v>36 hours</c:v>
                </c:pt>
              </c:strCache>
            </c:strRef>
          </c:tx>
          <c:spPr>
            <a:solidFill>
              <a:schemeClr val="accent4"/>
            </a:solidFill>
            <a:ln>
              <a:noFill/>
            </a:ln>
            <a:effectLst/>
          </c:spPr>
          <c:invertIfNegative val="0"/>
          <c:cat>
            <c:numRef>
              <c:f>Sheet1!$B$4:$B$14</c:f>
              <c:numCache>
                <c:formatCode>General</c:formatCode>
                <c:ptCount val="11"/>
                <c:pt idx="0">
                  <c:v>3</c:v>
                </c:pt>
                <c:pt idx="1">
                  <c:v>4</c:v>
                </c:pt>
                <c:pt idx="2">
                  <c:v>5</c:v>
                </c:pt>
                <c:pt idx="3">
                  <c:v>6</c:v>
                </c:pt>
                <c:pt idx="4">
                  <c:v>7</c:v>
                </c:pt>
                <c:pt idx="5">
                  <c:v>8</c:v>
                </c:pt>
                <c:pt idx="6">
                  <c:v>9</c:v>
                </c:pt>
                <c:pt idx="7">
                  <c:v>10</c:v>
                </c:pt>
                <c:pt idx="8">
                  <c:v>11</c:v>
                </c:pt>
                <c:pt idx="9">
                  <c:v>12</c:v>
                </c:pt>
                <c:pt idx="10">
                  <c:v>13</c:v>
                </c:pt>
              </c:numCache>
            </c:numRef>
          </c:cat>
          <c:val>
            <c:numRef>
              <c:f>Sheet1!$E$4:$E$14</c:f>
              <c:numCache>
                <c:formatCode>0.00</c:formatCode>
                <c:ptCount val="11"/>
                <c:pt idx="0">
                  <c:v>11.352981289690151</c:v>
                </c:pt>
                <c:pt idx="1">
                  <c:v>11.464326812428077</c:v>
                </c:pt>
                <c:pt idx="2">
                  <c:v>11.603375527426159</c:v>
                </c:pt>
                <c:pt idx="3">
                  <c:v>11.639602778843285</c:v>
                </c:pt>
                <c:pt idx="4">
                  <c:v>11.802625410220347</c:v>
                </c:pt>
                <c:pt idx="5">
                  <c:v>11.956591228743129</c:v>
                </c:pt>
                <c:pt idx="6">
                  <c:v>12.108426032476665</c:v>
                </c:pt>
                <c:pt idx="7">
                  <c:v>12.314068959638581</c:v>
                </c:pt>
                <c:pt idx="8">
                  <c:v>12.562864936282658</c:v>
                </c:pt>
                <c:pt idx="9">
                  <c:v>12.809529898137493</c:v>
                </c:pt>
                <c:pt idx="10">
                  <c:v>13.10574095384222</c:v>
                </c:pt>
              </c:numCache>
            </c:numRef>
          </c:val>
          <c:extLst>
            <c:ext xmlns:c16="http://schemas.microsoft.com/office/drawing/2014/chart" uri="{C3380CC4-5D6E-409C-BE32-E72D297353CC}">
              <c16:uniqueId val="{00000001-9E08-4795-9747-948752DCEDC9}"/>
            </c:ext>
          </c:extLst>
        </c:ser>
        <c:ser>
          <c:idx val="4"/>
          <c:order val="2"/>
          <c:tx>
            <c:strRef>
              <c:f>Sheet1!$F$3</c:f>
              <c:strCache>
                <c:ptCount val="1"/>
                <c:pt idx="0">
                  <c:v>37 hours</c:v>
                </c:pt>
              </c:strCache>
            </c:strRef>
          </c:tx>
          <c:spPr>
            <a:solidFill>
              <a:schemeClr val="accent5"/>
            </a:solidFill>
            <a:ln>
              <a:noFill/>
            </a:ln>
            <a:effectLst/>
          </c:spPr>
          <c:invertIfNegative val="0"/>
          <c:cat>
            <c:numRef>
              <c:f>Sheet1!$B$4:$B$14</c:f>
              <c:numCache>
                <c:formatCode>General</c:formatCode>
                <c:ptCount val="11"/>
                <c:pt idx="0">
                  <c:v>3</c:v>
                </c:pt>
                <c:pt idx="1">
                  <c:v>4</c:v>
                </c:pt>
                <c:pt idx="2">
                  <c:v>5</c:v>
                </c:pt>
                <c:pt idx="3">
                  <c:v>6</c:v>
                </c:pt>
                <c:pt idx="4">
                  <c:v>7</c:v>
                </c:pt>
                <c:pt idx="5">
                  <c:v>8</c:v>
                </c:pt>
                <c:pt idx="6">
                  <c:v>9</c:v>
                </c:pt>
                <c:pt idx="7">
                  <c:v>10</c:v>
                </c:pt>
                <c:pt idx="8">
                  <c:v>11</c:v>
                </c:pt>
                <c:pt idx="9">
                  <c:v>12</c:v>
                </c:pt>
                <c:pt idx="10">
                  <c:v>13</c:v>
                </c:pt>
              </c:numCache>
            </c:numRef>
          </c:cat>
          <c:val>
            <c:numRef>
              <c:f>Sheet1!$F$4:$F$14</c:f>
              <c:numCache>
                <c:formatCode>0.00</c:formatCode>
                <c:ptCount val="11"/>
                <c:pt idx="0">
                  <c:v>11.046143957536362</c:v>
                </c:pt>
                <c:pt idx="1">
                  <c:v>11.154480141821914</c:v>
                </c:pt>
                <c:pt idx="2">
                  <c:v>11.28977078344167</c:v>
                </c:pt>
                <c:pt idx="3">
                  <c:v>11.325018919955628</c:v>
                </c:pt>
                <c:pt idx="4">
                  <c:v>11.483635534268446</c:v>
                </c:pt>
                <c:pt idx="5">
                  <c:v>11.633440114452773</c:v>
                </c:pt>
                <c:pt idx="6">
                  <c:v>11.78117127484216</c:v>
                </c:pt>
                <c:pt idx="7">
                  <c:v>11.981256285053753</c:v>
                </c:pt>
                <c:pt idx="8">
                  <c:v>12.223328046112856</c:v>
                </c:pt>
                <c:pt idx="9">
                  <c:v>12.46332638737702</c:v>
                </c:pt>
                <c:pt idx="10">
                  <c:v>12.751531738873512</c:v>
                </c:pt>
              </c:numCache>
            </c:numRef>
          </c:val>
          <c:extLst>
            <c:ext xmlns:c16="http://schemas.microsoft.com/office/drawing/2014/chart" uri="{C3380CC4-5D6E-409C-BE32-E72D297353CC}">
              <c16:uniqueId val="{00000002-9E08-4795-9747-948752DCEDC9}"/>
            </c:ext>
          </c:extLst>
        </c:ser>
        <c:dLbls>
          <c:showLegendKey val="0"/>
          <c:showVal val="0"/>
          <c:showCatName val="0"/>
          <c:showSerName val="0"/>
          <c:showPercent val="0"/>
          <c:showBubbleSize val="0"/>
        </c:dLbls>
        <c:gapWidth val="150"/>
        <c:axId val="277675456"/>
        <c:axId val="408076240"/>
      </c:barChart>
      <c:lineChart>
        <c:grouping val="standard"/>
        <c:varyColors val="0"/>
        <c:ser>
          <c:idx val="0"/>
          <c:order val="3"/>
          <c:tx>
            <c:strRef>
              <c:f>Sheet1!$G$3</c:f>
              <c:strCache>
                <c:ptCount val="1"/>
                <c:pt idx="0">
                  <c:v>NMW </c:v>
                </c:pt>
              </c:strCache>
            </c:strRef>
          </c:tx>
          <c:spPr>
            <a:ln w="28575" cap="rnd">
              <a:solidFill>
                <a:srgbClr val="FFC000"/>
              </a:solidFill>
              <a:round/>
            </a:ln>
            <a:effectLst/>
          </c:spPr>
          <c:marker>
            <c:symbol val="none"/>
          </c:marker>
          <c:cat>
            <c:numRef>
              <c:f>Sheet1!$B$4:$B$14</c:f>
              <c:numCache>
                <c:formatCode>General</c:formatCode>
                <c:ptCount val="11"/>
                <c:pt idx="0">
                  <c:v>3</c:v>
                </c:pt>
                <c:pt idx="1">
                  <c:v>4</c:v>
                </c:pt>
                <c:pt idx="2">
                  <c:v>5</c:v>
                </c:pt>
                <c:pt idx="3">
                  <c:v>6</c:v>
                </c:pt>
                <c:pt idx="4">
                  <c:v>7</c:v>
                </c:pt>
                <c:pt idx="5">
                  <c:v>8</c:v>
                </c:pt>
                <c:pt idx="6">
                  <c:v>9</c:v>
                </c:pt>
                <c:pt idx="7">
                  <c:v>10</c:v>
                </c:pt>
                <c:pt idx="8">
                  <c:v>11</c:v>
                </c:pt>
                <c:pt idx="9">
                  <c:v>12</c:v>
                </c:pt>
                <c:pt idx="10">
                  <c:v>13</c:v>
                </c:pt>
              </c:numCache>
            </c:numRef>
          </c:cat>
          <c:val>
            <c:numRef>
              <c:f>Sheet1!$G$4:$G$14</c:f>
              <c:numCache>
                <c:formatCode>0.00</c:formatCode>
                <c:ptCount val="11"/>
                <c:pt idx="0">
                  <c:v>12.21</c:v>
                </c:pt>
                <c:pt idx="1">
                  <c:v>12.21</c:v>
                </c:pt>
                <c:pt idx="2">
                  <c:v>12.21</c:v>
                </c:pt>
                <c:pt idx="3">
                  <c:v>12.21</c:v>
                </c:pt>
                <c:pt idx="4">
                  <c:v>12.21</c:v>
                </c:pt>
                <c:pt idx="5">
                  <c:v>12.21</c:v>
                </c:pt>
                <c:pt idx="6">
                  <c:v>12.21</c:v>
                </c:pt>
                <c:pt idx="7">
                  <c:v>12.21</c:v>
                </c:pt>
                <c:pt idx="8">
                  <c:v>12.21</c:v>
                </c:pt>
                <c:pt idx="9">
                  <c:v>12.21</c:v>
                </c:pt>
                <c:pt idx="10">
                  <c:v>12.21</c:v>
                </c:pt>
              </c:numCache>
            </c:numRef>
          </c:val>
          <c:smooth val="0"/>
          <c:extLst>
            <c:ext xmlns:c16="http://schemas.microsoft.com/office/drawing/2014/chart" uri="{C3380CC4-5D6E-409C-BE32-E72D297353CC}">
              <c16:uniqueId val="{00000003-9E08-4795-9747-948752DCEDC9}"/>
            </c:ext>
          </c:extLst>
        </c:ser>
        <c:ser>
          <c:idx val="1"/>
          <c:order val="4"/>
          <c:tx>
            <c:strRef>
              <c:f>Sheet1!$H$3</c:f>
              <c:strCache>
                <c:ptCount val="1"/>
                <c:pt idx="0">
                  <c:v>FLW</c:v>
                </c:pt>
              </c:strCache>
            </c:strRef>
          </c:tx>
          <c:spPr>
            <a:ln w="28575" cap="rnd">
              <a:solidFill>
                <a:schemeClr val="accent2"/>
              </a:solidFill>
              <a:round/>
            </a:ln>
            <a:effectLst/>
          </c:spPr>
          <c:marker>
            <c:symbol val="none"/>
          </c:marker>
          <c:cat>
            <c:numRef>
              <c:f>Sheet1!$B$4:$B$14</c:f>
              <c:numCache>
                <c:formatCode>General</c:formatCode>
                <c:ptCount val="11"/>
                <c:pt idx="0">
                  <c:v>3</c:v>
                </c:pt>
                <c:pt idx="1">
                  <c:v>4</c:v>
                </c:pt>
                <c:pt idx="2">
                  <c:v>5</c:v>
                </c:pt>
                <c:pt idx="3">
                  <c:v>6</c:v>
                </c:pt>
                <c:pt idx="4">
                  <c:v>7</c:v>
                </c:pt>
                <c:pt idx="5">
                  <c:v>8</c:v>
                </c:pt>
                <c:pt idx="6">
                  <c:v>9</c:v>
                </c:pt>
                <c:pt idx="7">
                  <c:v>10</c:v>
                </c:pt>
                <c:pt idx="8">
                  <c:v>11</c:v>
                </c:pt>
                <c:pt idx="9">
                  <c:v>12</c:v>
                </c:pt>
                <c:pt idx="10">
                  <c:v>13</c:v>
                </c:pt>
              </c:numCache>
            </c:numRef>
          </c:cat>
          <c:val>
            <c:numRef>
              <c:f>Sheet1!$H$4:$H$14</c:f>
              <c:numCache>
                <c:formatCode>0.00</c:formatCode>
                <c:ptCount val="11"/>
                <c:pt idx="0">
                  <c:v>12.6</c:v>
                </c:pt>
                <c:pt idx="1">
                  <c:v>12.6</c:v>
                </c:pt>
                <c:pt idx="2">
                  <c:v>12.6</c:v>
                </c:pt>
                <c:pt idx="3">
                  <c:v>12.6</c:v>
                </c:pt>
                <c:pt idx="4">
                  <c:v>12.6</c:v>
                </c:pt>
                <c:pt idx="5">
                  <c:v>12.6</c:v>
                </c:pt>
                <c:pt idx="6">
                  <c:v>12.6</c:v>
                </c:pt>
                <c:pt idx="7">
                  <c:v>12.6</c:v>
                </c:pt>
                <c:pt idx="8">
                  <c:v>12.6</c:v>
                </c:pt>
                <c:pt idx="9">
                  <c:v>12.6</c:v>
                </c:pt>
                <c:pt idx="10">
                  <c:v>12.6</c:v>
                </c:pt>
              </c:numCache>
            </c:numRef>
          </c:val>
          <c:smooth val="0"/>
          <c:extLst>
            <c:ext xmlns:c16="http://schemas.microsoft.com/office/drawing/2014/chart" uri="{C3380CC4-5D6E-409C-BE32-E72D297353CC}">
              <c16:uniqueId val="{00000004-9E08-4795-9747-948752DCEDC9}"/>
            </c:ext>
          </c:extLst>
        </c:ser>
        <c:dLbls>
          <c:showLegendKey val="0"/>
          <c:showVal val="0"/>
          <c:showCatName val="0"/>
          <c:showSerName val="0"/>
          <c:showPercent val="0"/>
          <c:showBubbleSize val="0"/>
        </c:dLbls>
        <c:marker val="1"/>
        <c:smooth val="0"/>
        <c:axId val="277675456"/>
        <c:axId val="408076240"/>
      </c:lineChart>
      <c:catAx>
        <c:axId val="277675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Pay spine point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8076240"/>
        <c:crosses val="autoZero"/>
        <c:auto val="1"/>
        <c:lblAlgn val="ctr"/>
        <c:lblOffset val="100"/>
        <c:noMultiLvlLbl val="0"/>
      </c:catAx>
      <c:valAx>
        <c:axId val="408076240"/>
        <c:scaling>
          <c:orientation val="minMax"/>
          <c:min val="8"/>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Hourly rate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7675456"/>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85D8-B38E-432C-BAF4-1B59C8A8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5847</Words>
  <Characters>33331</Characters>
  <Application>Microsoft Office Word</Application>
  <DocSecurity>4</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Hegerty</dc:creator>
  <cp:keywords/>
  <dc:description/>
  <cp:lastModifiedBy>Murray, Andy</cp:lastModifiedBy>
  <cp:revision>2</cp:revision>
  <cp:lastPrinted>2025-03-06T14:41:00Z</cp:lastPrinted>
  <dcterms:created xsi:type="dcterms:W3CDTF">2025-03-06T14:43:00Z</dcterms:created>
  <dcterms:modified xsi:type="dcterms:W3CDTF">2025-03-06T14:43:00Z</dcterms:modified>
</cp:coreProperties>
</file>