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8C839" w14:textId="77777777" w:rsidR="00DC5E6D" w:rsidRDefault="00DC5E6D" w:rsidP="00C40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56844A17" wp14:editId="6D0EE14B">
            <wp:extent cx="552450" cy="685800"/>
            <wp:effectExtent l="0" t="0" r="0" b="0"/>
            <wp:docPr id="1" name="Picture 2" descr="A logo with a red and blue de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logo with a red and blue design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25CED" w14:textId="671CA0F3" w:rsidR="00F31339" w:rsidRPr="00DC5E6D" w:rsidRDefault="00C40B73" w:rsidP="00DC5E6D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</w:pPr>
      <w:r w:rsidRPr="00DC5E6D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Person Specification – Trustee of Unite the Union Benevolent Fund</w:t>
      </w:r>
    </w:p>
    <w:p w14:paraId="566CAA9E" w14:textId="31E58EC1" w:rsidR="00C40B73" w:rsidRPr="00DC5E6D" w:rsidRDefault="00C40B73" w:rsidP="00C40B7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</w:pPr>
      <w:r w:rsidRPr="00DC5E6D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  <w:t>Introduction</w:t>
      </w:r>
    </w:p>
    <w:p w14:paraId="21DA65A3" w14:textId="34C7DD42" w:rsidR="00C40B73" w:rsidRPr="00DC5E6D" w:rsidRDefault="00744019" w:rsidP="00C40B7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>Unite the Union Benevolent Fund</w:t>
      </w:r>
      <w:r w:rsidR="00C40B73"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is seeking dedicated and passionate individuals to join our Board of Trustees. As a Trustee, you will play a crucial role in shaping the strategic direction of the Fund, ensuring good governance, and supporting our mission to provide financial assistance and support to </w:t>
      </w:r>
      <w:r w:rsidR="00556561"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members and employees of Unite the Union and others </w:t>
      </w:r>
      <w:r w:rsidR="00C40B73"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>in need within our beneficiary community.</w:t>
      </w:r>
    </w:p>
    <w:p w14:paraId="2A0BDB55" w14:textId="45D3CFA2" w:rsidR="00C40B73" w:rsidRPr="00DC5E6D" w:rsidRDefault="00C40B73" w:rsidP="00C40B7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</w:pPr>
      <w:r w:rsidRPr="00DC5E6D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  <w:t>Essential Criteria</w:t>
      </w:r>
    </w:p>
    <w:p w14:paraId="23EA0EA4" w14:textId="77777777" w:rsidR="00C40B73" w:rsidRPr="00DC5E6D" w:rsidRDefault="00C40B73" w:rsidP="00C40B73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DC5E6D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Personal Attributes</w:t>
      </w:r>
    </w:p>
    <w:p w14:paraId="65407D59" w14:textId="5E08299B" w:rsidR="00C40B73" w:rsidRPr="00DC5E6D" w:rsidRDefault="00C40B73" w:rsidP="00C40B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Commitment to the values and objectives of </w:t>
      </w:r>
      <w:r w:rsidR="00556561"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Unite the Union </w:t>
      </w:r>
      <w:bookmarkStart w:id="0" w:name="_Hlk191542931"/>
      <w:r w:rsidR="00556561"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>Benevolent Fund</w:t>
      </w:r>
      <w:bookmarkEnd w:id="0"/>
      <w:r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>.</w:t>
      </w:r>
    </w:p>
    <w:p w14:paraId="76159C04" w14:textId="77777777" w:rsidR="00C40B73" w:rsidRPr="00DC5E6D" w:rsidRDefault="00C40B73" w:rsidP="00C40B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>Integrity, sound judgement, and the ability to think strategically.</w:t>
      </w:r>
    </w:p>
    <w:p w14:paraId="360F39BE" w14:textId="7A23C066" w:rsidR="00C40B73" w:rsidRPr="00DC5E6D" w:rsidRDefault="00C40B73" w:rsidP="00C40B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Willingness to act as an ambassador for the </w:t>
      </w:r>
      <w:r w:rsidR="00F81E1F"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>Fund</w:t>
      </w:r>
      <w:r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and promote its work.</w:t>
      </w:r>
    </w:p>
    <w:p w14:paraId="01270445" w14:textId="77777777" w:rsidR="00C40B73" w:rsidRPr="00DC5E6D" w:rsidRDefault="00C40B73" w:rsidP="00C40B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>Ability to work effectively as part of a team while maintaining independent thought.</w:t>
      </w:r>
    </w:p>
    <w:p w14:paraId="50DB812A" w14:textId="62F339EF" w:rsidR="00C40B73" w:rsidRPr="00DC5E6D" w:rsidRDefault="00C40B73" w:rsidP="00C40B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Willingness to devote the necessary time and effort to </w:t>
      </w:r>
      <w:r w:rsidR="005110AA"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>fulfil</w:t>
      </w:r>
      <w:r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the responsibilities of a Trustee.</w:t>
      </w:r>
    </w:p>
    <w:p w14:paraId="0FF707A5" w14:textId="77777777" w:rsidR="00C40B73" w:rsidRPr="00DC5E6D" w:rsidRDefault="00C40B73" w:rsidP="00C40B73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DC5E6D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Skills &amp; Experience</w:t>
      </w:r>
    </w:p>
    <w:p w14:paraId="12ED0CA7" w14:textId="7010CB36" w:rsidR="00C40B73" w:rsidRPr="00DC5E6D" w:rsidRDefault="00C40B73" w:rsidP="00C40B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Experience in leadership, governance, </w:t>
      </w:r>
      <w:r w:rsidR="005110AA"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>and</w:t>
      </w:r>
      <w:r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strategic decision-making.</w:t>
      </w:r>
    </w:p>
    <w:p w14:paraId="2B0B0FA0" w14:textId="080BB68B" w:rsidR="00C40B73" w:rsidRPr="00DC5E6D" w:rsidRDefault="00C40B73" w:rsidP="00C40B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Financial acumen and ability to understand </w:t>
      </w:r>
      <w:r w:rsidR="005110AA"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charity/benevolent fund </w:t>
      </w:r>
      <w:r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>accounts.</w:t>
      </w:r>
    </w:p>
    <w:p w14:paraId="6263465D" w14:textId="0D2FFD9B" w:rsidR="00C40B73" w:rsidRPr="00DC5E6D" w:rsidRDefault="00C40B73" w:rsidP="00C40B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Knowledge of the </w:t>
      </w:r>
      <w:r w:rsidR="005110AA"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charity/benevolent fund </w:t>
      </w:r>
      <w:r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>sector, including relevant legal and regulatory requirements.</w:t>
      </w:r>
    </w:p>
    <w:p w14:paraId="158F4471" w14:textId="77777777" w:rsidR="00C40B73" w:rsidRPr="00DC5E6D" w:rsidRDefault="00C40B73" w:rsidP="00C40B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>Strong communication and interpersonal skills.</w:t>
      </w:r>
    </w:p>
    <w:p w14:paraId="344150AF" w14:textId="77777777" w:rsidR="00C40B73" w:rsidRPr="00DC5E6D" w:rsidRDefault="00C40B73" w:rsidP="00C40B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>Ability to identify and assess risks and opportunities.</w:t>
      </w:r>
    </w:p>
    <w:p w14:paraId="48C114CD" w14:textId="77777777" w:rsidR="00C40B73" w:rsidRPr="00DC5E6D" w:rsidRDefault="00C40B73" w:rsidP="00C40B73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DC5E6D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Legal &amp; Compliance Requirements</w:t>
      </w:r>
    </w:p>
    <w:p w14:paraId="3247E466" w14:textId="77777777" w:rsidR="00C40B73" w:rsidRPr="00DC5E6D" w:rsidRDefault="00C40B73" w:rsidP="00C40B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>Must be eligible to act as a Trustee under the Charities Act 2011.</w:t>
      </w:r>
    </w:p>
    <w:p w14:paraId="4ADAA521" w14:textId="77777777" w:rsidR="00C40B73" w:rsidRPr="00DC5E6D" w:rsidRDefault="00C40B73" w:rsidP="00C40B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>Understanding of and commitment to equality, diversity, and inclusion principles.</w:t>
      </w:r>
    </w:p>
    <w:p w14:paraId="64529F61" w14:textId="77777777" w:rsidR="00C40B73" w:rsidRPr="00DC5E6D" w:rsidRDefault="00C40B73" w:rsidP="00C40B7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</w:pPr>
      <w:r w:rsidRPr="00DC5E6D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  <w:t>Desirable Criteria</w:t>
      </w:r>
    </w:p>
    <w:p w14:paraId="50B93F7A" w14:textId="4747DEE4" w:rsidR="00C40B73" w:rsidRPr="00DC5E6D" w:rsidRDefault="00C40B73" w:rsidP="00C40B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Experience in </w:t>
      </w:r>
      <w:r w:rsidR="00F70AC5"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grant-making, </w:t>
      </w:r>
      <w:r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>fundraising, or philanthropy.</w:t>
      </w:r>
    </w:p>
    <w:p w14:paraId="6DC51318" w14:textId="297976CA" w:rsidR="00C40B73" w:rsidRPr="00DC5E6D" w:rsidRDefault="008A77FF" w:rsidP="00C40B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Experience/skills </w:t>
      </w:r>
      <w:r w:rsidR="00C40B73"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in </w:t>
      </w:r>
      <w:r w:rsidR="001B2E4F"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a specific area useful to </w:t>
      </w:r>
      <w:r w:rsidR="0005389E"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Unite the Union Benevolent Fund. </w:t>
      </w:r>
      <w:r w:rsidR="001B2E4F"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e.g. finance, </w:t>
      </w:r>
      <w:r w:rsidR="00C40B73"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HR, law, IT, </w:t>
      </w:r>
      <w:r w:rsidR="001B2E4F"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or </w:t>
      </w:r>
      <w:r w:rsidR="00C40B73"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>communications.</w:t>
      </w:r>
    </w:p>
    <w:p w14:paraId="3C7A6F83" w14:textId="2847CD12" w:rsidR="00C40B73" w:rsidRPr="00DC5E6D" w:rsidRDefault="00C40B73" w:rsidP="00C40B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Understanding of the challenges </w:t>
      </w:r>
      <w:r w:rsidR="0062422F"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typically </w:t>
      </w:r>
      <w:r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faced by </w:t>
      </w:r>
      <w:r w:rsidR="0062422F"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>charities/benevolent funds</w:t>
      </w:r>
      <w:r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>.</w:t>
      </w:r>
    </w:p>
    <w:p w14:paraId="4014CEBB" w14:textId="77777777" w:rsidR="00C40B73" w:rsidRPr="00DC5E6D" w:rsidRDefault="00C40B73" w:rsidP="00C40B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>Prior experience serving on a board or in a similar governance role.</w:t>
      </w:r>
    </w:p>
    <w:p w14:paraId="72C4201A" w14:textId="77777777" w:rsidR="00DC5E6D" w:rsidRDefault="00DC5E6D" w:rsidP="00C40B7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</w:pPr>
    </w:p>
    <w:p w14:paraId="36016FCD" w14:textId="77777777" w:rsidR="00DC5E6D" w:rsidRDefault="00DC5E6D" w:rsidP="00C40B7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</w:pPr>
    </w:p>
    <w:p w14:paraId="65BD7ECD" w14:textId="69106BB8" w:rsidR="00C40B73" w:rsidRPr="00DC5E6D" w:rsidRDefault="00C40B73" w:rsidP="00C40B7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</w:pPr>
      <w:r w:rsidRPr="00DC5E6D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  <w:t>Time Commitment</w:t>
      </w:r>
    </w:p>
    <w:p w14:paraId="31B674A3" w14:textId="698F4034" w:rsidR="00C40B73" w:rsidRPr="00DC5E6D" w:rsidRDefault="00C40B73" w:rsidP="00C40B7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Trustees are expected to attend regular board meetings (typically </w:t>
      </w:r>
      <w:r w:rsidR="004801EB"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>six</w:t>
      </w:r>
      <w:r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times per year). The role is voluntary</w:t>
      </w:r>
      <w:r w:rsidR="004801EB"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(unpaid)</w:t>
      </w:r>
      <w:r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>, but reasonable expenses will be reimbursed.</w:t>
      </w:r>
    </w:p>
    <w:p w14:paraId="44DB4E5B" w14:textId="77777777" w:rsidR="00C40B73" w:rsidRPr="00DC5E6D" w:rsidRDefault="00C40B73" w:rsidP="00C40B7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</w:pPr>
      <w:r w:rsidRPr="00DC5E6D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  <w:t>How to Apply</w:t>
      </w:r>
    </w:p>
    <w:p w14:paraId="096541B5" w14:textId="130D3299" w:rsidR="00C40B73" w:rsidRPr="00DC5E6D" w:rsidRDefault="004801EB" w:rsidP="00DC5E6D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See job advertisement. </w:t>
      </w:r>
    </w:p>
    <w:p w14:paraId="0C966272" w14:textId="77777777" w:rsidR="00C40B73" w:rsidRPr="00DC5E6D" w:rsidRDefault="00C40B73" w:rsidP="00C40B7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</w:pPr>
      <w:r w:rsidRPr="00DC5E6D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  <w:t>Equal Opportunities Statement</w:t>
      </w:r>
    </w:p>
    <w:p w14:paraId="2A39F359" w14:textId="702ACBE9" w:rsidR="00B77F43" w:rsidRDefault="00B77F43" w:rsidP="00DC5E6D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>See job advertisement.</w:t>
      </w:r>
    </w:p>
    <w:p w14:paraId="32406FD4" w14:textId="77777777" w:rsidR="00DC5E6D" w:rsidRPr="00DC5E6D" w:rsidRDefault="00DC5E6D" w:rsidP="00DC5E6D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0292DF73" w14:textId="7B3B3A56" w:rsidR="00C40B73" w:rsidRPr="00DC5E6D" w:rsidRDefault="00C40B73" w:rsidP="00C40B7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C5E6D">
        <w:rPr>
          <w:rFonts w:ascii="Calibri" w:eastAsia="Times New Roman" w:hAnsi="Calibri" w:cs="Calibri"/>
          <w:kern w:val="0"/>
          <w:lang w:eastAsia="en-GB"/>
          <w14:ligatures w14:val="none"/>
        </w:rPr>
        <w:t>We look forward to hearing from you!</w:t>
      </w:r>
    </w:p>
    <w:p w14:paraId="6A796D47" w14:textId="77777777" w:rsidR="00C40B73" w:rsidRPr="00DC5E6D" w:rsidRDefault="00C40B73">
      <w:pPr>
        <w:rPr>
          <w:rFonts w:ascii="Calibri" w:hAnsi="Calibri" w:cs="Calibri"/>
        </w:rPr>
      </w:pPr>
    </w:p>
    <w:sectPr w:rsidR="00C40B73" w:rsidRPr="00DC5E6D" w:rsidSect="00B77F43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8022C"/>
    <w:multiLevelType w:val="multilevel"/>
    <w:tmpl w:val="F740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C57DD"/>
    <w:multiLevelType w:val="multilevel"/>
    <w:tmpl w:val="DF8A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594C4E"/>
    <w:multiLevelType w:val="multilevel"/>
    <w:tmpl w:val="2936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703B3B"/>
    <w:multiLevelType w:val="multilevel"/>
    <w:tmpl w:val="1140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8258965">
    <w:abstractNumId w:val="2"/>
  </w:num>
  <w:num w:numId="2" w16cid:durableId="1761754098">
    <w:abstractNumId w:val="0"/>
  </w:num>
  <w:num w:numId="3" w16cid:durableId="1828011460">
    <w:abstractNumId w:val="3"/>
  </w:num>
  <w:num w:numId="4" w16cid:durableId="942880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73"/>
    <w:rsid w:val="0005389E"/>
    <w:rsid w:val="00103B94"/>
    <w:rsid w:val="00134088"/>
    <w:rsid w:val="001920C4"/>
    <w:rsid w:val="001B2E4F"/>
    <w:rsid w:val="00261636"/>
    <w:rsid w:val="004470B1"/>
    <w:rsid w:val="004801EB"/>
    <w:rsid w:val="004F1B44"/>
    <w:rsid w:val="005110AA"/>
    <w:rsid w:val="00556561"/>
    <w:rsid w:val="00621896"/>
    <w:rsid w:val="0062422F"/>
    <w:rsid w:val="006B4E09"/>
    <w:rsid w:val="006C5473"/>
    <w:rsid w:val="006C7E5E"/>
    <w:rsid w:val="00744019"/>
    <w:rsid w:val="00825112"/>
    <w:rsid w:val="008A77FF"/>
    <w:rsid w:val="00B77F43"/>
    <w:rsid w:val="00BB7336"/>
    <w:rsid w:val="00C40B73"/>
    <w:rsid w:val="00CA20F2"/>
    <w:rsid w:val="00DA00B2"/>
    <w:rsid w:val="00DC5E6D"/>
    <w:rsid w:val="00EB79C2"/>
    <w:rsid w:val="00F31339"/>
    <w:rsid w:val="00F70AC5"/>
    <w:rsid w:val="00F8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46DF1"/>
  <w15:chartTrackingRefBased/>
  <w15:docId w15:val="{4EEE16C9-63A4-4C00-9494-B96005D6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B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0B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B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0B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B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0B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B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B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B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B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0B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B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0B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B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0B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0B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0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0B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0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0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0B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0B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0B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0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0B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0B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 the Union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Quiddington, Roy</dc:creator>
  <cp:keywords/>
  <dc:description/>
  <cp:lastModifiedBy>Welsford, Richard</cp:lastModifiedBy>
  <cp:revision>2</cp:revision>
  <dcterms:created xsi:type="dcterms:W3CDTF">2025-03-06T13:01:00Z</dcterms:created>
  <dcterms:modified xsi:type="dcterms:W3CDTF">2025-03-06T13:01:00Z</dcterms:modified>
</cp:coreProperties>
</file>